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внесении изменения в пункт 2 Решения Коллегии Евразийской экономической комиссии от 22 сентября 2015 г. </w:t>
      </w:r>
      <w:r w:rsid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715F2C" w:rsidRPr="00715F2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№ 122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715F2C">
              <w:rPr>
                <w:sz w:val="25"/>
                <w:szCs w:val="25"/>
                <w:lang w:eastAsia="x-none"/>
              </w:rPr>
              <w:t>2</w:t>
            </w:r>
            <w:r w:rsidR="00E3174E">
              <w:rPr>
                <w:sz w:val="25"/>
                <w:szCs w:val="25"/>
                <w:lang w:eastAsia="x-none"/>
              </w:rPr>
              <w:t>5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15F2C">
              <w:rPr>
                <w:sz w:val="25"/>
                <w:szCs w:val="25"/>
                <w:lang w:eastAsia="x-none"/>
              </w:rPr>
              <w:t>января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E3174E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E3174E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715F2C">
              <w:rPr>
                <w:sz w:val="25"/>
                <w:szCs w:val="25"/>
                <w:lang w:eastAsia="x-none"/>
              </w:rPr>
              <w:t>2</w:t>
            </w:r>
            <w:r w:rsidR="00E3174E">
              <w:rPr>
                <w:sz w:val="25"/>
                <w:szCs w:val="25"/>
                <w:lang w:eastAsia="x-none"/>
              </w:rPr>
              <w:t>5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715F2C">
              <w:rPr>
                <w:sz w:val="25"/>
                <w:szCs w:val="25"/>
                <w:lang w:eastAsia="x-none"/>
              </w:rPr>
              <w:t>февраля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</w:t>
            </w:r>
            <w:r w:rsidR="00E3174E">
              <w:rPr>
                <w:sz w:val="25"/>
                <w:szCs w:val="25"/>
                <w:lang w:eastAsia="x-none"/>
              </w:rPr>
              <w:t>8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5E2377">
              <w:rPr>
                <w:sz w:val="25"/>
                <w:szCs w:val="25"/>
                <w:u w:val="single"/>
              </w:rPr>
              <w:t>Шаккалиев</w:t>
            </w:r>
            <w:r w:rsidR="009F644C" w:rsidRPr="009F644C">
              <w:rPr>
                <w:sz w:val="25"/>
                <w:szCs w:val="25"/>
                <w:u w:val="single"/>
              </w:rPr>
              <w:t xml:space="preserve"> 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  <w:r w:rsidR="005E2377">
              <w:rPr>
                <w:sz w:val="25"/>
                <w:szCs w:val="25"/>
                <w:u w:val="single"/>
              </w:rPr>
              <w:t>А</w:t>
            </w:r>
            <w:r w:rsidR="009F644C" w:rsidRPr="009F644C">
              <w:rPr>
                <w:sz w:val="25"/>
                <w:szCs w:val="25"/>
                <w:u w:val="single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  <w:bookmarkStart w:id="0" w:name="_GoBack"/>
            <w:bookmarkEnd w:id="0"/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Pr="00BC5842" w:rsidRDefault="009F644C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72E56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E56" w:rsidRDefault="00D72E56" w:rsidP="00802ED0">
      <w:pPr>
        <w:spacing w:after="0" w:line="240" w:lineRule="auto"/>
      </w:pPr>
      <w:r>
        <w:separator/>
      </w:r>
    </w:p>
  </w:endnote>
  <w:endnote w:type="continuationSeparator" w:id="0">
    <w:p w:rsidR="00D72E56" w:rsidRDefault="00D72E56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E56" w:rsidRDefault="00D72E56" w:rsidP="00802ED0">
      <w:pPr>
        <w:spacing w:after="0" w:line="240" w:lineRule="auto"/>
      </w:pPr>
      <w:r>
        <w:separator/>
      </w:r>
    </w:p>
  </w:footnote>
  <w:footnote w:type="continuationSeparator" w:id="0">
    <w:p w:rsidR="00D72E56" w:rsidRDefault="00D72E56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174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Школин Владимир Анатольевич</cp:lastModifiedBy>
  <cp:revision>16</cp:revision>
  <cp:lastPrinted>2016-10-14T10:15:00Z</cp:lastPrinted>
  <dcterms:created xsi:type="dcterms:W3CDTF">2015-04-06T13:36:00Z</dcterms:created>
  <dcterms:modified xsi:type="dcterms:W3CDTF">2018-01-25T13:50:00Z</dcterms:modified>
</cp:coreProperties>
</file>