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6"/>
      </w:tblGrid>
      <w:tr w:rsidR="009246FB" w:rsidRPr="001A721A" w:rsidTr="000D03D2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246FB" w:rsidRPr="00D1678F" w:rsidRDefault="009246FB" w:rsidP="009246FB">
            <w:pPr>
              <w:pStyle w:val="af"/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246FB" w:rsidRPr="00BB02AF" w:rsidRDefault="009246FB" w:rsidP="009246FB">
            <w:pPr>
              <w:pStyle w:val="af"/>
              <w:ind w:firstLine="21"/>
              <w:jc w:val="center"/>
            </w:pPr>
            <w:r w:rsidRPr="00D1678F">
              <w:t>УТВЕРЖДЕН</w:t>
            </w:r>
          </w:p>
        </w:tc>
      </w:tr>
      <w:tr w:rsidR="009246FB" w:rsidRPr="000D03D2" w:rsidTr="000D03D2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246FB" w:rsidRPr="00BA015D" w:rsidRDefault="009246FB" w:rsidP="009246FB">
            <w:pPr>
              <w:pStyle w:val="af"/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Решением Коллегии</w:t>
            </w:r>
          </w:p>
          <w:p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Евразийской экономической комиссии</w:t>
            </w:r>
          </w:p>
          <w:p w:rsidR="009246FB" w:rsidRPr="00DE49E8" w:rsidRDefault="009246FB" w:rsidP="000D03D2">
            <w:pPr>
              <w:spacing w:after="0" w:line="240" w:lineRule="auto"/>
              <w:ind w:firstLine="21"/>
              <w:jc w:val="center"/>
              <w:rPr>
                <w:szCs w:val="30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от                      20     г. №         </w:t>
            </w:r>
          </w:p>
        </w:tc>
      </w:tr>
    </w:tbl>
    <w:p w:rsidR="003070FE" w:rsidRPr="00DE49E8" w:rsidRDefault="003070FE" w:rsidP="007B29FD">
      <w:pPr>
        <w:pStyle w:val="a8"/>
        <w:spacing w:before="0"/>
        <w:rPr>
          <w:rFonts w:ascii="Times New Roman" w:hAnsi="Times New Roman"/>
        </w:rPr>
      </w:pPr>
    </w:p>
    <w:p w:rsidR="003070FE" w:rsidRPr="00DE49E8" w:rsidRDefault="003070FE" w:rsidP="007B29FD">
      <w:pPr>
        <w:pStyle w:val="a8"/>
        <w:spacing w:before="0"/>
        <w:rPr>
          <w:rFonts w:ascii="Times New Roman" w:hAnsi="Times New Roman"/>
        </w:rPr>
      </w:pPr>
    </w:p>
    <w:p w:rsidR="007B29FD" w:rsidRPr="00F96B69" w:rsidRDefault="007B29FD" w:rsidP="007B29FD">
      <w:pPr>
        <w:pStyle w:val="a8"/>
        <w:spacing w:before="0"/>
        <w:rPr>
          <w:rFonts w:ascii="Times New Roman" w:hAnsi="Times New Roman"/>
        </w:rPr>
      </w:pPr>
      <w:r w:rsidRPr="00F96B69">
        <w:t>Порядок</w:t>
      </w:r>
    </w:p>
    <w:p w:rsidR="007B29FD" w:rsidRPr="00F96B69" w:rsidRDefault="007B29FD" w:rsidP="007B29FD">
      <w:pPr>
        <w:pStyle w:val="a7"/>
        <w:spacing w:after="0"/>
      </w:pPr>
      <w:r w:rsidRPr="00F96B69">
        <w:t xml:space="preserve">присоединения к общему процессу </w:t>
      </w:r>
      <w:r w:rsidR="00556EE6" w:rsidRPr="00F96B69">
        <w:br/>
      </w:r>
      <w:r w:rsidRPr="00F96B69">
        <w:t>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</w:t>
      </w:r>
    </w:p>
    <w:p w:rsidR="007B29FD" w:rsidRPr="00F96B69" w:rsidRDefault="007B29FD" w:rsidP="007B29FD">
      <w:pPr>
        <w:pStyle w:val="1"/>
        <w:spacing w:before="360" w:after="360"/>
      </w:pPr>
      <w:bookmarkStart w:id="0" w:name="_Toc351924578"/>
      <w:bookmarkStart w:id="1" w:name="_Toc365295209"/>
      <w:bookmarkStart w:id="2" w:name="_Toc373227713"/>
      <w:r w:rsidRPr="00F96B69">
        <w:t xml:space="preserve">I. Общие </w:t>
      </w:r>
      <w:bookmarkEnd w:id="0"/>
      <w:bookmarkEnd w:id="1"/>
      <w:bookmarkEnd w:id="2"/>
      <w:r w:rsidRPr="00F96B69">
        <w:t>положения</w:t>
      </w:r>
    </w:p>
    <w:p w:rsidR="007B29FD" w:rsidRPr="00F96B69" w:rsidRDefault="007B29FD" w:rsidP="00D559D4">
      <w:pPr>
        <w:pStyle w:val="aa"/>
        <w:spacing w:after="0" w:line="360" w:lineRule="auto"/>
        <w:outlineLvl w:val="2"/>
        <w:rPr>
          <w:szCs w:val="30"/>
        </w:rPr>
      </w:pPr>
      <w:r w:rsidRPr="00F96B69">
        <w:rPr>
          <w:szCs w:val="30"/>
        </w:rPr>
        <w:t>1.</w:t>
      </w:r>
      <w:r w:rsidR="00C457BD" w:rsidRPr="00F96B69">
        <w:rPr>
          <w:szCs w:val="30"/>
        </w:rPr>
        <w:t xml:space="preserve"> Настоящий Порядок разработан </w:t>
      </w:r>
      <w:r w:rsidR="0053652E" w:rsidRPr="00F96B69">
        <w:rPr>
          <w:color w:val="000000"/>
          <w:szCs w:val="28"/>
        </w:rPr>
        <w:t>в соответствии со следующими международными договорами и актами, составляющими право Евразийского экономического союза (далее – Союз)</w:t>
      </w:r>
      <w:r w:rsidRPr="00F96B69">
        <w:rPr>
          <w:szCs w:val="30"/>
        </w:rPr>
        <w:t>:</w:t>
      </w:r>
    </w:p>
    <w:p w:rsidR="00F66D08" w:rsidRPr="00F96B69" w:rsidRDefault="00F66D08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>
        <w:rPr>
          <w:rFonts w:eastAsia="Times New Roman" w:cs="Times New Roman"/>
          <w:szCs w:val="30"/>
          <w:lang w:eastAsia="x-none"/>
        </w:rPr>
        <w:t>Договор о Евразийском экономическом союзе от 29 мая 2014 года;</w:t>
      </w:r>
    </w:p>
    <w:p w:rsidR="00C02364" w:rsidRDefault="00C02364" w:rsidP="00C02364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>Договор о Таможенном кодексе Евразийского экономического союза от 11 апреля 2017 года;</w:t>
      </w:r>
    </w:p>
    <w:p w:rsidR="00D41DC2" w:rsidRPr="00F96B69" w:rsidRDefault="00D41DC2" w:rsidP="00C02364">
      <w:pPr>
        <w:pStyle w:val="aa"/>
        <w:spacing w:after="0" w:line="360" w:lineRule="auto"/>
        <w:rPr>
          <w:szCs w:val="30"/>
        </w:rPr>
      </w:pPr>
      <w:r>
        <w:t xml:space="preserve">Решение </w:t>
      </w:r>
      <w:r w:rsidRPr="00363C1D">
        <w:rPr>
          <w:bCs/>
        </w:rPr>
        <w:t>Евразийско</w:t>
      </w:r>
      <w:r>
        <w:rPr>
          <w:bCs/>
        </w:rPr>
        <w:t>го</w:t>
      </w:r>
      <w:r w:rsidRPr="00363C1D">
        <w:rPr>
          <w:bCs/>
        </w:rPr>
        <w:t xml:space="preserve"> </w:t>
      </w:r>
      <w:r>
        <w:rPr>
          <w:bCs/>
        </w:rPr>
        <w:t xml:space="preserve">межправительственного совета </w:t>
      </w:r>
      <w:r w:rsidR="00857F8E">
        <w:rPr>
          <w:bCs/>
        </w:rPr>
        <w:br/>
      </w:r>
      <w:r w:rsidRPr="00363C1D">
        <w:rPr>
          <w:bCs/>
        </w:rPr>
        <w:t>от</w:t>
      </w:r>
      <w:r w:rsidR="00857F8E">
        <w:rPr>
          <w:bCs/>
        </w:rPr>
        <w:t xml:space="preserve"> 15</w:t>
      </w:r>
      <w:r w:rsidRPr="00363C1D">
        <w:rPr>
          <w:bCs/>
        </w:rPr>
        <w:t xml:space="preserve"> </w:t>
      </w:r>
      <w:r w:rsidR="00857F8E">
        <w:rPr>
          <w:bCs/>
        </w:rPr>
        <w:t xml:space="preserve">августа </w:t>
      </w:r>
      <w:r w:rsidRPr="00363C1D">
        <w:rPr>
          <w:bCs/>
        </w:rPr>
        <w:t>20</w:t>
      </w:r>
      <w:r>
        <w:rPr>
          <w:bCs/>
        </w:rPr>
        <w:t>25</w:t>
      </w:r>
      <w:r w:rsidRPr="00363C1D">
        <w:rPr>
          <w:bCs/>
        </w:rPr>
        <w:t xml:space="preserve"> г</w:t>
      </w:r>
      <w:r>
        <w:rPr>
          <w:bCs/>
        </w:rPr>
        <w:t>.</w:t>
      </w:r>
      <w:r w:rsidRPr="00363C1D">
        <w:rPr>
          <w:bCs/>
        </w:rPr>
        <w:t xml:space="preserve"> </w:t>
      </w:r>
      <w:r>
        <w:rPr>
          <w:bCs/>
        </w:rPr>
        <w:t>№</w:t>
      </w:r>
      <w:r w:rsidR="00857F8E">
        <w:rPr>
          <w:bCs/>
        </w:rPr>
        <w:t xml:space="preserve"> 2</w:t>
      </w:r>
      <w:r>
        <w:t xml:space="preserve"> </w:t>
      </w:r>
      <w:r w:rsidRPr="000759EA">
        <w:t xml:space="preserve">О внесении изменений в Решение Коллегии </w:t>
      </w:r>
      <w:r w:rsidRPr="000759EA">
        <w:br/>
        <w:t>Евразийской экономической комиссии от 14 января 2025 г. №</w:t>
      </w:r>
      <w:r>
        <w:t> </w:t>
      </w:r>
      <w:r w:rsidRPr="000759EA">
        <w:t>6</w:t>
      </w:r>
      <w:r>
        <w:t>»;</w:t>
      </w:r>
    </w:p>
    <w:p w:rsidR="00F66D08" w:rsidRPr="00F96B69" w:rsidRDefault="00F66D08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 w:rsidDel="00201ABA">
        <w:rPr>
          <w:rFonts w:eastAsia="Times New Roman" w:cs="Times New Roman"/>
          <w:szCs w:val="30"/>
          <w:lang w:eastAsia="x-none"/>
        </w:rPr>
        <w:t xml:space="preserve">Решение Коллегии Евразийской экономической комиссии </w:t>
      </w:r>
      <w:r w:rsidRPr="00F96B69" w:rsidDel="00201ABA">
        <w:rPr>
          <w:rFonts w:eastAsia="Times New Roman" w:cs="Times New Roman"/>
          <w:szCs w:val="30"/>
          <w:lang w:eastAsia="x-none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C02364" w:rsidRPr="00F96B69">
        <w:rPr>
          <w:rFonts w:eastAsia="Times New Roman" w:cs="Times New Roman"/>
          <w:szCs w:val="30"/>
          <w:lang w:eastAsia="x-none"/>
        </w:rPr>
        <w:br/>
      </w:r>
      <w:r w:rsidRPr="00F96B69" w:rsidDel="00201ABA">
        <w:rPr>
          <w:rFonts w:eastAsia="Times New Roman" w:cs="Times New Roman"/>
          <w:szCs w:val="30"/>
          <w:lang w:eastAsia="x-none"/>
        </w:rPr>
        <w:t>и взаимной торговли общих процессов»</w:t>
      </w:r>
      <w:r w:rsidRPr="00F96B69">
        <w:rPr>
          <w:rFonts w:eastAsia="Times New Roman" w:cs="Times New Roman"/>
          <w:szCs w:val="30"/>
          <w:lang w:eastAsia="x-none"/>
        </w:rPr>
        <w:t>;</w:t>
      </w:r>
    </w:p>
    <w:p w:rsidR="00703F25" w:rsidRPr="00F96B69" w:rsidRDefault="00703F25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>
        <w:t xml:space="preserve">Решение Коллегии Евразийской экономической комиссии </w:t>
      </w:r>
      <w:r w:rsidRPr="00F96B69">
        <w:br/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 w:rsidRPr="00F96B69">
        <w:br/>
        <w:t>и взаимной торговли»;</w:t>
      </w:r>
    </w:p>
    <w:p w:rsidR="00F66D08" w:rsidRPr="00F96B69" w:rsidRDefault="00F66D08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>
        <w:rPr>
          <w:rFonts w:eastAsia="Times New Roman" w:cs="Times New Roman"/>
          <w:szCs w:val="30"/>
          <w:lang w:eastAsia="x-none"/>
        </w:rPr>
        <w:lastRenderedPageBreak/>
        <w:t>Решение Коллегии Евразийской экономической комиссии</w:t>
      </w:r>
      <w:r w:rsidRPr="00F96B69">
        <w:rPr>
          <w:rFonts w:eastAsia="Times New Roman" w:cs="Times New Roman"/>
          <w:szCs w:val="30"/>
          <w:lang w:eastAsia="x-none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</w:t>
      </w:r>
      <w:r w:rsidRPr="00F96B69">
        <w:rPr>
          <w:rFonts w:eastAsia="Times New Roman" w:cs="Times New Roman"/>
          <w:szCs w:val="30"/>
          <w:lang w:eastAsia="x-none"/>
        </w:rPr>
        <w:br/>
        <w:t>№ 132»;</w:t>
      </w:r>
    </w:p>
    <w:p w:rsidR="00DE49E8" w:rsidRDefault="00F66D08" w:rsidP="00F66D08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 xml:space="preserve">Решение Коллегии Евразийской экономической комиссии </w:t>
      </w:r>
      <w:r w:rsidRPr="00F96B69">
        <w:rPr>
          <w:szCs w:val="30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="00DE49E8">
        <w:rPr>
          <w:szCs w:val="30"/>
        </w:rPr>
        <w:t>;</w:t>
      </w:r>
    </w:p>
    <w:p w:rsidR="00DE49E8" w:rsidRPr="00F96B69" w:rsidRDefault="00DE49E8" w:rsidP="00DE49E8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 xml:space="preserve">Решение Коллегии Евразийской экономической комиссии </w:t>
      </w:r>
      <w:r w:rsidRPr="00F96B69">
        <w:rPr>
          <w:szCs w:val="30"/>
        </w:rPr>
        <w:br/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:rsidR="002F7344" w:rsidRDefault="00DE49E8" w:rsidP="00F66D08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 xml:space="preserve">Решение Коллегии Евразийской экономической комиссии </w:t>
      </w:r>
      <w:r w:rsidRPr="00F96B69">
        <w:rPr>
          <w:szCs w:val="30"/>
        </w:rPr>
        <w:br/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 w:rsidRPr="00F96B69">
        <w:rPr>
          <w:szCs w:val="30"/>
        </w:rPr>
        <w:br/>
        <w:t>о классификации товаров, принятых таможенными органами государств – членов Евр</w:t>
      </w:r>
      <w:r>
        <w:rPr>
          <w:szCs w:val="30"/>
        </w:rPr>
        <w:t>азийского экономического союза»</w:t>
      </w:r>
      <w:r w:rsidR="002F7344">
        <w:rPr>
          <w:szCs w:val="30"/>
        </w:rPr>
        <w:t>;</w:t>
      </w:r>
    </w:p>
    <w:p w:rsidR="00F66D08" w:rsidRPr="00F96B69" w:rsidRDefault="002F7344" w:rsidP="00F66D08">
      <w:pPr>
        <w:pStyle w:val="aa"/>
        <w:spacing w:after="0" w:line="360" w:lineRule="auto"/>
        <w:rPr>
          <w:szCs w:val="30"/>
        </w:rPr>
      </w:pPr>
      <w:r w:rsidRPr="002F7344">
        <w:rPr>
          <w:szCs w:val="30"/>
        </w:rPr>
        <w:t xml:space="preserve">Решение Коллегии Евразийской экономической комиссии </w:t>
      </w:r>
      <w:r w:rsidRPr="002F7344">
        <w:rPr>
          <w:szCs w:val="30"/>
        </w:rPr>
        <w:br/>
        <w:t>от</w:t>
      </w:r>
      <w:r w:rsidR="00923A3B">
        <w:rPr>
          <w:szCs w:val="30"/>
        </w:rPr>
        <w:t xml:space="preserve"> 14 января </w:t>
      </w:r>
      <w:r w:rsidRPr="002F7344">
        <w:rPr>
          <w:szCs w:val="30"/>
        </w:rPr>
        <w:t>20</w:t>
      </w:r>
      <w:r w:rsidR="00923A3B">
        <w:rPr>
          <w:szCs w:val="30"/>
        </w:rPr>
        <w:t xml:space="preserve">25 </w:t>
      </w:r>
      <w:r w:rsidRPr="002F7344">
        <w:rPr>
          <w:szCs w:val="30"/>
        </w:rPr>
        <w:t>г. № </w:t>
      </w:r>
      <w:r w:rsidR="0006249B">
        <w:rPr>
          <w:szCs w:val="30"/>
        </w:rPr>
        <w:t>6</w:t>
      </w:r>
      <w:r w:rsidRPr="002F7344">
        <w:rPr>
          <w:szCs w:val="30"/>
        </w:rPr>
        <w:t xml:space="preserve"> «Об утверждении 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товаров.</w:t>
      </w:r>
    </w:p>
    <w:p w:rsidR="007B29FD" w:rsidRPr="00F96B69" w:rsidRDefault="007B29FD" w:rsidP="004446BD">
      <w:pPr>
        <w:pStyle w:val="1"/>
        <w:spacing w:before="360" w:after="360"/>
      </w:pPr>
      <w:r w:rsidRPr="00F96B69">
        <w:t>II. Область применения</w:t>
      </w:r>
    </w:p>
    <w:p w:rsidR="007B29FD" w:rsidRPr="00F96B69" w:rsidRDefault="007B29FD" w:rsidP="007B29FD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2.</w:t>
      </w:r>
      <w:r w:rsidR="00C457BD" w:rsidRPr="00F96B69">
        <w:rPr>
          <w:noProof w:val="0"/>
        </w:rPr>
        <w:t> Настоящий Порядок определяет требования к информационному взаимодействию при присоединении нового участника к общему процессу</w:t>
      </w:r>
      <w:r w:rsidRPr="00F96B69" w:rsidDel="007424C7">
        <w:rPr>
          <w:noProof w:val="0"/>
        </w:rPr>
        <w:t xml:space="preserve"> </w:t>
      </w:r>
      <w:r w:rsidRPr="00F96B69">
        <w:rPr>
          <w:noProof w:val="0"/>
        </w:rPr>
        <w:t xml:space="preserve">«Формирование сборника принятых предварительных решений </w:t>
      </w:r>
      <w:r w:rsidRPr="00F96B69">
        <w:rPr>
          <w:noProof w:val="0"/>
        </w:rPr>
        <w:lastRenderedPageBreak/>
        <w:t>таможенных органов государств – членов Евразийского экономического союза по классификации товаров» (P.GC.02)</w:t>
      </w:r>
      <w:r w:rsidR="00C457BD" w:rsidRPr="00F96B69">
        <w:rPr>
          <w:noProof w:val="0"/>
        </w:rPr>
        <w:t xml:space="preserve"> (далее – общий процесс)</w:t>
      </w:r>
      <w:r w:rsidRPr="00F96B69">
        <w:rPr>
          <w:noProof w:val="0"/>
        </w:rPr>
        <w:t>.</w:t>
      </w:r>
    </w:p>
    <w:p w:rsidR="007B29FD" w:rsidRPr="00F96B69" w:rsidRDefault="007B29FD" w:rsidP="007B29FD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3.</w:t>
      </w:r>
      <w:r w:rsidR="00C457BD" w:rsidRPr="00F96B69">
        <w:rPr>
          <w:noProof w:val="0"/>
        </w:rPr>
        <w:t xml:space="preserve"> Процедуры, определенные в настоящем Порядке, выполняются одномоментно либо на протяжении определенного периода времени </w:t>
      </w:r>
      <w:r w:rsidR="00C02364" w:rsidRPr="00F96B69">
        <w:rPr>
          <w:noProof w:val="0"/>
        </w:rPr>
        <w:br/>
      </w:r>
      <w:r w:rsidR="00C457BD" w:rsidRPr="00F96B69">
        <w:rPr>
          <w:noProof w:val="0"/>
        </w:rPr>
        <w:t>при присоединении нового участника к общему процессу</w:t>
      </w:r>
      <w:r w:rsidRPr="00F96B69">
        <w:rPr>
          <w:noProof w:val="0"/>
        </w:rPr>
        <w:t>.</w:t>
      </w:r>
    </w:p>
    <w:p w:rsidR="00C853C5" w:rsidRPr="00F96B69" w:rsidRDefault="00C853C5" w:rsidP="00C853C5">
      <w:pPr>
        <w:pStyle w:val="1"/>
        <w:spacing w:before="360" w:after="360"/>
      </w:pPr>
      <w:r w:rsidRPr="00F96B69">
        <w:t>III. Основные понятия</w:t>
      </w:r>
    </w:p>
    <w:p w:rsidR="00C853C5" w:rsidRPr="00F96B69" w:rsidRDefault="00C853C5" w:rsidP="007B29FD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4. Для целей настоящего Порядка используются понятия, которые означают следующее:</w:t>
      </w:r>
    </w:p>
    <w:p w:rsidR="00A0428D" w:rsidRDefault="002D7606" w:rsidP="00C853C5">
      <w:pPr>
        <w:pStyle w:val="ac"/>
        <w:spacing w:after="0" w:line="360" w:lineRule="auto"/>
        <w:outlineLvl w:val="9"/>
      </w:pPr>
      <w:r>
        <w:rPr>
          <w:noProof w:val="0"/>
        </w:rPr>
        <w:t>«</w:t>
      </w:r>
      <w:r w:rsidRPr="00F96B69">
        <w:t>даты начала выполнения процедуры присоединения</w:t>
      </w:r>
      <w:r>
        <w:rPr>
          <w:noProof w:val="0"/>
        </w:rPr>
        <w:t>» - дата</w:t>
      </w:r>
      <w:r w:rsidR="0082273E">
        <w:rPr>
          <w:noProof w:val="0"/>
        </w:rPr>
        <w:t xml:space="preserve">, </w:t>
      </w:r>
      <w:r w:rsidR="0082273E">
        <w:rPr>
          <w:lang w:eastAsia="x-none"/>
        </w:rPr>
        <w:t xml:space="preserve">определяющая дату начала выполнения мероприятий по </w:t>
      </w:r>
      <w:r w:rsidR="0082273E" w:rsidRPr="002F7344">
        <w:rPr>
          <w:szCs w:val="24"/>
        </w:rPr>
        <w:t>присоединения нового участника</w:t>
      </w:r>
      <w:r w:rsidR="0082273E" w:rsidRPr="00F96B69">
        <w:t xml:space="preserve"> к общему процессу</w:t>
      </w:r>
      <w:r w:rsidR="00921796">
        <w:t>,</w:t>
      </w:r>
      <w:r w:rsidR="0082273E">
        <w:t xml:space="preserve"> </w:t>
      </w:r>
      <w:r w:rsidR="0082273E">
        <w:rPr>
          <w:noProof w:val="0"/>
        </w:rPr>
        <w:t>соответствующая дате</w:t>
      </w:r>
      <w:r>
        <w:rPr>
          <w:noProof w:val="0"/>
        </w:rPr>
        <w:t xml:space="preserve"> вступления в силу </w:t>
      </w:r>
      <w:r w:rsidRPr="006A7111">
        <w:rPr>
          <w:noProof w:val="0"/>
        </w:rPr>
        <w:t>Решени</w:t>
      </w:r>
      <w:r>
        <w:t>я</w:t>
      </w:r>
      <w:r w:rsidRPr="006A7111">
        <w:rPr>
          <w:noProof w:val="0"/>
        </w:rPr>
        <w:t xml:space="preserve"> Коллегии Евразийской экономической комиссии от</w:t>
      </w:r>
      <w:r w:rsidRPr="006A7111">
        <w:rPr>
          <w:noProof w:val="0"/>
          <w:lang w:eastAsia="x-none"/>
        </w:rPr>
        <w:t xml:space="preserve">                      </w:t>
      </w:r>
      <w:r w:rsidRPr="006A7111">
        <w:rPr>
          <w:noProof w:val="0"/>
        </w:rPr>
        <w:t xml:space="preserve"> 20     г. №       </w:t>
      </w:r>
      <w:r>
        <w:t>«</w:t>
      </w:r>
      <w:r w:rsidRPr="006A7111">
        <w:rPr>
          <w:lang w:eastAsia="x-none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</w:t>
      </w:r>
      <w:r w:rsidR="0082273E">
        <w:rPr>
          <w:lang w:eastAsia="x-none"/>
        </w:rPr>
        <w:t xml:space="preserve">». В отношении </w:t>
      </w:r>
      <w:r w:rsidR="00A0428D">
        <w:rPr>
          <w:lang w:eastAsia="x-none"/>
        </w:rPr>
        <w:t xml:space="preserve">участников общего процесса </w:t>
      </w:r>
      <w:r w:rsidR="00A0428D">
        <w:rPr>
          <w:lang w:eastAsia="x-none"/>
        </w:rPr>
        <w:br/>
        <w:t>от Республики Беларусь и Российской Федерации</w:t>
      </w:r>
      <w:r w:rsidR="0082273E">
        <w:rPr>
          <w:lang w:eastAsia="x-none"/>
        </w:rPr>
        <w:t xml:space="preserve"> </w:t>
      </w:r>
      <w:r w:rsidR="00A0428D" w:rsidRPr="00F96B69">
        <w:t>дат</w:t>
      </w:r>
      <w:r w:rsidR="00A0428D">
        <w:t>а</w:t>
      </w:r>
      <w:r w:rsidR="00A0428D" w:rsidRPr="00F96B69">
        <w:t xml:space="preserve"> начала выполнения процедуры присоединения</w:t>
      </w:r>
      <w:r w:rsidR="00A0428D">
        <w:rPr>
          <w:lang w:eastAsia="x-none"/>
        </w:rPr>
        <w:t xml:space="preserve"> определяется </w:t>
      </w:r>
      <w:r w:rsidR="00921796">
        <w:rPr>
          <w:lang w:eastAsia="x-none"/>
        </w:rPr>
        <w:t>с учетом</w:t>
      </w:r>
      <w:r w:rsidR="00A0428D">
        <w:rPr>
          <w:lang w:eastAsia="x-none"/>
        </w:rPr>
        <w:t xml:space="preserve"> пункт</w:t>
      </w:r>
      <w:r w:rsidR="00921796">
        <w:rPr>
          <w:lang w:eastAsia="x-none"/>
        </w:rPr>
        <w:t>а</w:t>
      </w:r>
      <w:r w:rsidR="00A0428D">
        <w:rPr>
          <w:lang w:eastAsia="x-none"/>
        </w:rPr>
        <w:t xml:space="preserve"> 1 </w:t>
      </w:r>
      <w:r w:rsidR="00A0428D">
        <w:t xml:space="preserve">Решения </w:t>
      </w:r>
      <w:r w:rsidR="00A0428D" w:rsidRPr="00363C1D">
        <w:rPr>
          <w:bCs/>
        </w:rPr>
        <w:t>Евразийско</w:t>
      </w:r>
      <w:r w:rsidR="00A0428D">
        <w:rPr>
          <w:bCs/>
        </w:rPr>
        <w:t>го</w:t>
      </w:r>
      <w:r w:rsidR="00A0428D" w:rsidRPr="00363C1D">
        <w:rPr>
          <w:bCs/>
        </w:rPr>
        <w:t xml:space="preserve"> </w:t>
      </w:r>
      <w:r w:rsidR="00A0428D">
        <w:rPr>
          <w:bCs/>
        </w:rPr>
        <w:t xml:space="preserve">межправительственного совета </w:t>
      </w:r>
      <w:r w:rsidR="00857F8E">
        <w:rPr>
          <w:bCs/>
        </w:rPr>
        <w:br/>
      </w:r>
      <w:r w:rsidR="00A0428D" w:rsidRPr="00363C1D">
        <w:rPr>
          <w:bCs/>
        </w:rPr>
        <w:t>от</w:t>
      </w:r>
      <w:r w:rsidR="00857F8E">
        <w:rPr>
          <w:bCs/>
        </w:rPr>
        <w:t xml:space="preserve"> 15 августа </w:t>
      </w:r>
      <w:r w:rsidR="00A0428D" w:rsidRPr="00363C1D">
        <w:rPr>
          <w:bCs/>
        </w:rPr>
        <w:t>20</w:t>
      </w:r>
      <w:r w:rsidR="00A0428D">
        <w:rPr>
          <w:bCs/>
        </w:rPr>
        <w:t>25</w:t>
      </w:r>
      <w:r w:rsidR="00A0428D" w:rsidRPr="00363C1D">
        <w:rPr>
          <w:bCs/>
        </w:rPr>
        <w:t xml:space="preserve"> г</w:t>
      </w:r>
      <w:r w:rsidR="00A0428D">
        <w:rPr>
          <w:bCs/>
        </w:rPr>
        <w:t>.</w:t>
      </w:r>
      <w:r w:rsidR="00A0428D" w:rsidRPr="00363C1D">
        <w:rPr>
          <w:bCs/>
        </w:rPr>
        <w:t xml:space="preserve"> </w:t>
      </w:r>
      <w:r w:rsidR="00A0428D">
        <w:rPr>
          <w:bCs/>
        </w:rPr>
        <w:t>№</w:t>
      </w:r>
      <w:r w:rsidR="00857F8E">
        <w:rPr>
          <w:bCs/>
        </w:rPr>
        <w:t xml:space="preserve"> 2</w:t>
      </w:r>
      <w:r w:rsidR="00A0428D">
        <w:t xml:space="preserve"> «</w:t>
      </w:r>
      <w:r w:rsidR="00A0428D" w:rsidRPr="000759EA">
        <w:t xml:space="preserve">О внесении изменений в Решение Коллегии </w:t>
      </w:r>
      <w:r w:rsidR="00A0428D" w:rsidRPr="000759EA">
        <w:br/>
        <w:t>Евразийской экономической комиссии от 14 января 2025 г. №</w:t>
      </w:r>
      <w:r w:rsidR="00A0428D">
        <w:t> </w:t>
      </w:r>
      <w:r w:rsidR="00A0428D" w:rsidRPr="000759EA">
        <w:t>6</w:t>
      </w:r>
      <w:r w:rsidR="00A0428D">
        <w:t>».</w:t>
      </w:r>
    </w:p>
    <w:p w:rsidR="00C853C5" w:rsidRPr="00F96B69" w:rsidRDefault="00C853C5" w:rsidP="00C853C5">
      <w:pPr>
        <w:pStyle w:val="ac"/>
        <w:spacing w:after="0" w:line="360" w:lineRule="auto"/>
        <w:outlineLvl w:val="9"/>
        <w:rPr>
          <w:noProof w:val="0"/>
        </w:rPr>
      </w:pPr>
      <w:r w:rsidRPr="00F96B69">
        <w:rPr>
          <w:noProof w:val="0"/>
        </w:rPr>
        <w:t xml:space="preserve">«документы, применяемые при обеспечении функционирования интегрированной системы» – технические, технологические, методические и организационные документы, разрабатываемые </w:t>
      </w:r>
      <w:r w:rsidR="00C02364" w:rsidRPr="00F96B69">
        <w:rPr>
          <w:noProof w:val="0"/>
        </w:rPr>
        <w:br/>
      </w:r>
      <w:r w:rsidRPr="00F96B69">
        <w:rPr>
          <w:noProof w:val="0"/>
        </w:rPr>
        <w:lastRenderedPageBreak/>
        <w:t>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C853C5" w:rsidRPr="00F96B69" w:rsidRDefault="00C853C5" w:rsidP="00C853C5">
      <w:pPr>
        <w:pStyle w:val="af"/>
      </w:pPr>
      <w:r w:rsidRPr="00F96B69">
        <w:rPr>
          <w:szCs w:val="28"/>
        </w:rPr>
        <w:t>«</w:t>
      </w:r>
      <w:r w:rsidRPr="00F96B69">
        <w:t>технологические документы, регламентирующие информационное взаимодействие при реализации общего процесса</w:t>
      </w:r>
      <w:r w:rsidRPr="00F96B69">
        <w:rPr>
          <w:szCs w:val="28"/>
        </w:rPr>
        <w:t>» – документы, включенные в типовой перечень технологических документов, указанный в пункте 1 Решения Коллегии Евразийской экономической комиссии от 6 ноября 2014 г. № 200</w:t>
      </w:r>
      <w:r w:rsidR="002F7344">
        <w:rPr>
          <w:szCs w:val="28"/>
        </w:rPr>
        <w:t xml:space="preserve">, утвержденные </w:t>
      </w:r>
      <w:r w:rsidR="002F7344" w:rsidRPr="00F96B69">
        <w:rPr>
          <w:szCs w:val="28"/>
        </w:rPr>
        <w:t>Решением Коллегии Евразийской экономической комиссии</w:t>
      </w:r>
      <w:r w:rsidR="002F7344" w:rsidRPr="00F96B69">
        <w:t xml:space="preserve"> от</w:t>
      </w:r>
      <w:r w:rsidR="002F7344" w:rsidRPr="00F96B69">
        <w:rPr>
          <w:szCs w:val="30"/>
          <w:lang w:eastAsia="x-none"/>
        </w:rPr>
        <w:t xml:space="preserve">                      </w:t>
      </w:r>
      <w:r w:rsidR="002F7344" w:rsidRPr="00F96B69">
        <w:t xml:space="preserve"> 20     г. №    </w:t>
      </w:r>
      <w:proofErr w:type="gramStart"/>
      <w:r w:rsidR="002F7344" w:rsidRPr="00F96B69">
        <w:t>  </w:t>
      </w:r>
      <w:r w:rsidRPr="00F96B69">
        <w:t>.</w:t>
      </w:r>
      <w:proofErr w:type="gramEnd"/>
    </w:p>
    <w:p w:rsidR="00C853C5" w:rsidRPr="00F96B69" w:rsidRDefault="00C853C5" w:rsidP="00C853C5">
      <w:pPr>
        <w:pStyle w:val="ac"/>
        <w:spacing w:after="0" w:line="360" w:lineRule="auto"/>
        <w:outlineLvl w:val="9"/>
        <w:rPr>
          <w:noProof w:val="0"/>
        </w:rPr>
      </w:pPr>
      <w:r w:rsidRPr="00F96B69">
        <w:rPr>
          <w:noProof w:val="0"/>
          <w:szCs w:val="28"/>
        </w:rPr>
        <w:t xml:space="preserve"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463EE2" w:rsidRPr="00F96B69">
        <w:rPr>
          <w:noProof w:val="0"/>
          <w:szCs w:val="28"/>
        </w:rPr>
        <w:t>Евразийского экономического союза</w:t>
      </w:r>
      <w:r w:rsidRPr="00F96B69">
        <w:rPr>
          <w:noProof w:val="0"/>
          <w:szCs w:val="28"/>
        </w:rPr>
        <w:t xml:space="preserve"> общего процесса «</w:t>
      </w:r>
      <w:r w:rsidRPr="00F96B69">
        <w:rPr>
          <w:noProof w:val="0"/>
        </w:rPr>
        <w:t xml:space="preserve">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товаров», утвержденных </w:t>
      </w:r>
      <w:r w:rsidRPr="00F96B69">
        <w:rPr>
          <w:noProof w:val="0"/>
          <w:szCs w:val="28"/>
        </w:rPr>
        <w:t>Решением Коллегии Евразийской экономической комиссии</w:t>
      </w:r>
      <w:r w:rsidRPr="00F96B69">
        <w:rPr>
          <w:noProof w:val="0"/>
        </w:rPr>
        <w:t xml:space="preserve"> от</w:t>
      </w:r>
      <w:r w:rsidRPr="00F96B69">
        <w:rPr>
          <w:noProof w:val="0"/>
          <w:szCs w:val="30"/>
          <w:lang w:eastAsia="x-none"/>
        </w:rPr>
        <w:t xml:space="preserve">                      </w:t>
      </w:r>
      <w:r w:rsidRPr="00F96B69">
        <w:rPr>
          <w:noProof w:val="0"/>
        </w:rPr>
        <w:t xml:space="preserve"> 20     г. №       </w:t>
      </w:r>
      <w:r w:rsidR="002F7344">
        <w:rPr>
          <w:noProof w:val="0"/>
        </w:rPr>
        <w:br/>
      </w:r>
      <w:r w:rsidRPr="00F96B69">
        <w:rPr>
          <w:noProof w:val="0"/>
        </w:rPr>
        <w:t>(далее – Правила информационного взаимодействия).</w:t>
      </w:r>
    </w:p>
    <w:p w:rsidR="005844FA" w:rsidRPr="00F96B69" w:rsidRDefault="005844FA" w:rsidP="00FD19B5">
      <w:pPr>
        <w:pStyle w:val="11"/>
      </w:pPr>
      <w:r w:rsidRPr="00F96B69">
        <w:t>IV. Участники взаимодействия</w:t>
      </w:r>
    </w:p>
    <w:p w:rsidR="00FD19B5" w:rsidRPr="00F96B69" w:rsidRDefault="00FD19B5" w:rsidP="00D559D4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5. Роли участников взаимодействия при выполнении ими процедур присоединения к общему процессу приведены в таблице 1.</w:t>
      </w:r>
    </w:p>
    <w:p w:rsidR="00FD19B5" w:rsidRPr="00F96B69" w:rsidRDefault="00FD19B5" w:rsidP="006C6163">
      <w:pPr>
        <w:pStyle w:val="ac"/>
        <w:keepNext/>
        <w:spacing w:before="240" w:after="240" w:line="240" w:lineRule="auto"/>
        <w:ind w:firstLine="0"/>
        <w:jc w:val="right"/>
        <w:outlineLvl w:val="9"/>
        <w:rPr>
          <w:noProof w:val="0"/>
        </w:rPr>
      </w:pPr>
      <w:r w:rsidRPr="00F96B69">
        <w:rPr>
          <w:noProof w:val="0"/>
        </w:rPr>
        <w:lastRenderedPageBreak/>
        <w:t>Таблица 1</w:t>
      </w:r>
    </w:p>
    <w:p w:rsidR="00FD19B5" w:rsidRPr="00F96B69" w:rsidRDefault="00FD19B5" w:rsidP="006C6163">
      <w:pPr>
        <w:pStyle w:val="ac"/>
        <w:keepNext/>
        <w:spacing w:line="240" w:lineRule="auto"/>
        <w:ind w:firstLine="0"/>
        <w:jc w:val="center"/>
        <w:outlineLvl w:val="9"/>
        <w:rPr>
          <w:noProof w:val="0"/>
        </w:rPr>
      </w:pPr>
      <w:r w:rsidRPr="00F96B69">
        <w:rPr>
          <w:noProof w:val="0"/>
        </w:rPr>
        <w:t>Роли участников взаимодействия</w:t>
      </w:r>
    </w:p>
    <w:tbl>
      <w:tblPr>
        <w:tblStyle w:val="ae"/>
        <w:tblW w:w="9356" w:type="dxa"/>
        <w:tblLook w:val="04A0" w:firstRow="1" w:lastRow="0" w:firstColumn="1" w:lastColumn="0" w:noHBand="0" w:noVBand="1"/>
      </w:tblPr>
      <w:tblGrid>
        <w:gridCol w:w="562"/>
        <w:gridCol w:w="2694"/>
        <w:gridCol w:w="3543"/>
        <w:gridCol w:w="2557"/>
      </w:tblGrid>
      <w:tr w:rsidR="00FD19B5" w:rsidRPr="00FD19B5" w:rsidTr="00FD1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:rsidR="00FD19B5" w:rsidRPr="00FD19B5" w:rsidRDefault="00FD19B5" w:rsidP="006C6163">
            <w:pPr>
              <w:pStyle w:val="ac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FD19B5" w:rsidRPr="00F96B69" w:rsidRDefault="00FD19B5" w:rsidP="006C6163">
            <w:pPr>
              <w:pStyle w:val="ac"/>
              <w:keepNext/>
              <w:spacing w:after="0" w:line="264" w:lineRule="auto"/>
              <w:ind w:firstLine="0"/>
              <w:jc w:val="center"/>
              <w:outlineLvl w:val="9"/>
              <w:rPr>
                <w:noProof w:val="0"/>
                <w:sz w:val="24"/>
                <w:szCs w:val="24"/>
              </w:rPr>
            </w:pPr>
            <w:r w:rsidRPr="00F96B69">
              <w:rPr>
                <w:noProof w:val="0"/>
                <w:sz w:val="24"/>
                <w:szCs w:val="24"/>
              </w:rPr>
              <w:t>Наименование роли</w:t>
            </w:r>
          </w:p>
        </w:tc>
        <w:tc>
          <w:tcPr>
            <w:tcW w:w="3543" w:type="dxa"/>
          </w:tcPr>
          <w:p w:rsidR="00FD19B5" w:rsidRPr="00F96B69" w:rsidRDefault="00FD19B5" w:rsidP="006C6163">
            <w:pPr>
              <w:pStyle w:val="ac"/>
              <w:keepNext/>
              <w:spacing w:after="0" w:line="264" w:lineRule="auto"/>
              <w:ind w:firstLine="0"/>
              <w:jc w:val="center"/>
              <w:outlineLvl w:val="9"/>
              <w:rPr>
                <w:noProof w:val="0"/>
                <w:sz w:val="24"/>
                <w:szCs w:val="24"/>
              </w:rPr>
            </w:pPr>
            <w:r w:rsidRPr="00F96B69">
              <w:rPr>
                <w:noProof w:val="0"/>
                <w:sz w:val="24"/>
                <w:szCs w:val="24"/>
              </w:rPr>
              <w:t>Описание роли</w:t>
            </w:r>
          </w:p>
        </w:tc>
        <w:tc>
          <w:tcPr>
            <w:tcW w:w="2557" w:type="dxa"/>
          </w:tcPr>
          <w:p w:rsidR="00FD19B5" w:rsidRPr="00F96B69" w:rsidRDefault="00FD19B5" w:rsidP="006C6163">
            <w:pPr>
              <w:pStyle w:val="ac"/>
              <w:keepNext/>
              <w:spacing w:after="0" w:line="264" w:lineRule="auto"/>
              <w:ind w:firstLine="0"/>
              <w:jc w:val="center"/>
              <w:outlineLvl w:val="9"/>
              <w:rPr>
                <w:noProof w:val="0"/>
                <w:sz w:val="24"/>
                <w:szCs w:val="24"/>
              </w:rPr>
            </w:pPr>
            <w:r w:rsidRPr="00F96B69">
              <w:rPr>
                <w:noProof w:val="0"/>
                <w:sz w:val="24"/>
                <w:szCs w:val="24"/>
              </w:rPr>
              <w:t>Участник, выполняющий роль</w:t>
            </w:r>
          </w:p>
        </w:tc>
      </w:tr>
      <w:tr w:rsidR="003A5AAE" w:rsidRPr="00FD19B5" w:rsidTr="00FD19B5">
        <w:trPr>
          <w:cantSplit/>
        </w:trPr>
        <w:tc>
          <w:tcPr>
            <w:tcW w:w="562" w:type="dxa"/>
          </w:tcPr>
          <w:p w:rsidR="003A5AAE" w:rsidRPr="00E047D3" w:rsidRDefault="003A5AAE" w:rsidP="006C6163">
            <w:pPr>
              <w:pStyle w:val="ac"/>
              <w:keepNext/>
              <w:spacing w:after="0" w:line="240" w:lineRule="auto"/>
              <w:ind w:firstLine="0"/>
              <w:jc w:val="center"/>
              <w:outlineLvl w:val="9"/>
              <w:rPr>
                <w:sz w:val="24"/>
              </w:rPr>
            </w:pPr>
            <w:r w:rsidRPr="00E047D3"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3A5AAE" w:rsidRPr="00F96B69" w:rsidRDefault="003A5AAE" w:rsidP="006C6163">
            <w:pPr>
              <w:pStyle w:val="af5"/>
              <w:keepNext/>
              <w:spacing w:line="240" w:lineRule="auto"/>
              <w:rPr>
                <w:rFonts w:cs="Times New Roman"/>
              </w:rPr>
            </w:pPr>
            <w:r w:rsidRPr="00F96B69">
              <w:t xml:space="preserve">Присоединяющийся </w:t>
            </w:r>
            <w:r w:rsidRPr="00F96B69">
              <w:rPr>
                <w:szCs w:val="30"/>
              </w:rPr>
              <w:t>участник общего процесса</w:t>
            </w:r>
          </w:p>
        </w:tc>
        <w:tc>
          <w:tcPr>
            <w:tcW w:w="3543" w:type="dxa"/>
          </w:tcPr>
          <w:p w:rsidR="003A5AAE" w:rsidRPr="00F96B69" w:rsidRDefault="003A5AAE" w:rsidP="006C6163">
            <w:pPr>
              <w:pStyle w:val="af5"/>
              <w:keepNext/>
              <w:spacing w:line="240" w:lineRule="auto"/>
              <w:rPr>
                <w:szCs w:val="30"/>
              </w:rPr>
            </w:pPr>
            <w:r w:rsidRPr="00F96B69">
              <w:rPr>
                <w:szCs w:val="30"/>
              </w:rPr>
              <w:t xml:space="preserve">присоединяется к общему процессу, получает </w:t>
            </w:r>
            <w:r w:rsidRPr="00F96B69">
              <w:rPr>
                <w:szCs w:val="30"/>
              </w:rPr>
              <w:br/>
              <w:t xml:space="preserve">и синхронизирует необходимые справочники </w:t>
            </w:r>
            <w:r w:rsidRPr="00F96B69">
              <w:rPr>
                <w:szCs w:val="30"/>
              </w:rPr>
              <w:br/>
              <w:t xml:space="preserve">и классификаторы, представляет сведения </w:t>
            </w:r>
            <w:r w:rsidRPr="00F96B69">
              <w:rPr>
                <w:szCs w:val="30"/>
              </w:rPr>
              <w:br/>
              <w:t>для</w:t>
            </w:r>
            <w:r w:rsidR="00692220" w:rsidRPr="00F96B69">
              <w:rPr>
                <w:szCs w:val="30"/>
              </w:rPr>
              <w:t xml:space="preserve"> первоначального</w:t>
            </w:r>
            <w:r w:rsidRPr="00F96B69">
              <w:rPr>
                <w:szCs w:val="30"/>
              </w:rPr>
              <w:t xml:space="preserve"> включения в сборник предварительных решений </w:t>
            </w:r>
          </w:p>
        </w:tc>
        <w:tc>
          <w:tcPr>
            <w:tcW w:w="2557" w:type="dxa"/>
          </w:tcPr>
          <w:p w:rsidR="003A5AAE" w:rsidRPr="00F96B69" w:rsidRDefault="003A5AAE" w:rsidP="006C6163">
            <w:pPr>
              <w:pStyle w:val="af5"/>
              <w:keepNext/>
              <w:spacing w:line="240" w:lineRule="auto"/>
              <w:rPr>
                <w:lang w:eastAsia="en-US"/>
              </w:rPr>
            </w:pPr>
            <w:r w:rsidRPr="00F96B69">
              <w:t>уполномоченный</w:t>
            </w:r>
            <w:r w:rsidRPr="00F96B69">
              <w:rPr>
                <w:rFonts w:cs="Times New Roman"/>
              </w:rPr>
              <w:t xml:space="preserve"> орган государства – члена Союза (P.GC.02.ACT.001)</w:t>
            </w:r>
          </w:p>
        </w:tc>
      </w:tr>
      <w:tr w:rsidR="003A5AAE" w:rsidRPr="00FD19B5" w:rsidTr="00FD19B5">
        <w:trPr>
          <w:cantSplit/>
        </w:trPr>
        <w:tc>
          <w:tcPr>
            <w:tcW w:w="562" w:type="dxa"/>
          </w:tcPr>
          <w:p w:rsidR="003A5AAE" w:rsidRPr="00E047D3" w:rsidRDefault="003A5AAE" w:rsidP="003A5AAE">
            <w:pPr>
              <w:pStyle w:val="ac"/>
              <w:spacing w:after="0" w:line="240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E047D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A5AAE" w:rsidRPr="00F96B69" w:rsidDel="001059B0" w:rsidRDefault="003A5AAE" w:rsidP="003A5AAE">
            <w:pPr>
              <w:pStyle w:val="af5"/>
              <w:spacing w:line="240" w:lineRule="auto"/>
            </w:pPr>
            <w:r w:rsidRPr="00F96B69">
              <w:t>Администратор</w:t>
            </w:r>
          </w:p>
        </w:tc>
        <w:tc>
          <w:tcPr>
            <w:tcW w:w="3543" w:type="dxa"/>
          </w:tcPr>
          <w:p w:rsidR="003A5AAE" w:rsidRPr="00F96B69" w:rsidRDefault="003A5AAE" w:rsidP="003A5AAE">
            <w:pPr>
              <w:pStyle w:val="af5"/>
              <w:spacing w:line="240" w:lineRule="auto"/>
            </w:pPr>
            <w:r w:rsidRPr="00F96B69">
              <w:rPr>
                <w:szCs w:val="30"/>
              </w:rPr>
              <w:t xml:space="preserve">координирует выполнение </w:t>
            </w:r>
            <w:r w:rsidRPr="00F96B69">
              <w:rPr>
                <w:szCs w:val="24"/>
              </w:rPr>
              <w:t xml:space="preserve">процедур, предусмотренных настоящим Порядком, </w:t>
            </w:r>
            <w:r w:rsidR="002F7344">
              <w:rPr>
                <w:szCs w:val="24"/>
              </w:rPr>
              <w:br/>
            </w:r>
            <w:r w:rsidRPr="00F96B69">
              <w:rPr>
                <w:szCs w:val="30"/>
              </w:rPr>
              <w:t xml:space="preserve">и участвует в тестировании информационного взаимодействия </w:t>
            </w:r>
            <w:r w:rsidRPr="00F96B69">
              <w:rPr>
                <w:szCs w:val="30"/>
              </w:rPr>
              <w:br/>
              <w:t>с присоединяющимся участником общего процесса</w:t>
            </w:r>
          </w:p>
        </w:tc>
        <w:tc>
          <w:tcPr>
            <w:tcW w:w="2557" w:type="dxa"/>
          </w:tcPr>
          <w:p w:rsidR="003A5AAE" w:rsidRPr="00F96B69" w:rsidRDefault="003A5AAE" w:rsidP="003A5AAE">
            <w:pPr>
              <w:pStyle w:val="af5"/>
              <w:spacing w:line="240" w:lineRule="auto"/>
              <w:rPr>
                <w:rFonts w:cs="Times New Roman"/>
              </w:rPr>
            </w:pPr>
            <w:r w:rsidRPr="00F96B69">
              <w:rPr>
                <w:szCs w:val="30"/>
              </w:rPr>
              <w:t xml:space="preserve">Евразийская экономическая комиссия </w:t>
            </w:r>
            <w:r w:rsidRPr="00F96B69">
              <w:rPr>
                <w:rFonts w:cs="Times New Roman"/>
              </w:rPr>
              <w:t>(P.ACT.001)</w:t>
            </w:r>
          </w:p>
        </w:tc>
      </w:tr>
    </w:tbl>
    <w:p w:rsidR="007B29FD" w:rsidRPr="00F96B69" w:rsidRDefault="005844FA" w:rsidP="00FA2708">
      <w:pPr>
        <w:pStyle w:val="11"/>
      </w:pPr>
      <w:r w:rsidRPr="00F96B69">
        <w:t>V</w:t>
      </w:r>
      <w:r w:rsidR="007B29FD" w:rsidRPr="00F96B69">
        <w:t>. Описание процедуры присоединения</w:t>
      </w:r>
    </w:p>
    <w:p w:rsidR="005844FA" w:rsidRPr="00F96B69" w:rsidRDefault="005844FA" w:rsidP="00FA2708">
      <w:pPr>
        <w:pStyle w:val="21"/>
      </w:pPr>
      <w:r w:rsidRPr="00F96B69">
        <w:t>1. Общие требования</w:t>
      </w:r>
    </w:p>
    <w:p w:rsidR="003D30F2" w:rsidRPr="002F7344" w:rsidRDefault="003D30F2" w:rsidP="002F7344">
      <w:pPr>
        <w:pStyle w:val="af6"/>
        <w:tabs>
          <w:tab w:val="left" w:pos="1134"/>
        </w:tabs>
        <w:rPr>
          <w:rFonts w:ascii="Times New Roman" w:hAnsi="Times New Roman"/>
          <w:szCs w:val="24"/>
          <w:lang w:val="ru-RU"/>
        </w:rPr>
      </w:pPr>
      <w:r w:rsidRPr="00F96B69">
        <w:rPr>
          <w:rFonts w:ascii="Times New Roman" w:hAnsi="Times New Roman" w:cs="Times New Roman"/>
          <w:lang w:val="ru-RU"/>
        </w:rPr>
        <w:t>6. </w:t>
      </w:r>
      <w:r w:rsidRPr="00F96B69">
        <w:rPr>
          <w:rFonts w:ascii="Times New Roman" w:eastAsia="Calibri" w:hAnsi="Times New Roman" w:cs="Times New Roman"/>
          <w:lang w:val="ru-RU" w:eastAsia="en-US"/>
        </w:rPr>
        <w:t>Для присоединения к общему процессу присоединяющимся участником</w:t>
      </w:r>
      <w:r w:rsidRPr="00F96B69" w:rsidDel="00924FAB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Pr="00F96B69">
        <w:rPr>
          <w:rFonts w:ascii="Times New Roman" w:eastAsia="Calibri" w:hAnsi="Times New Roman" w:cs="Times New Roman"/>
          <w:lang w:val="ru-RU" w:eastAsia="en-US"/>
        </w:rPr>
        <w:t xml:space="preserve">общего процесса должны быть выполнены требования </w:t>
      </w:r>
      <w:r w:rsidRPr="002F7344">
        <w:rPr>
          <w:rFonts w:ascii="Times New Roman" w:hAnsi="Times New Roman"/>
          <w:szCs w:val="24"/>
          <w:lang w:val="ru-RU"/>
        </w:rPr>
        <w:t xml:space="preserve">документов, применяемых при обеспечении функционирования интегрированной системы, технологических документов, </w:t>
      </w:r>
      <w:r w:rsidR="002F7344" w:rsidRPr="002F7344">
        <w:rPr>
          <w:rFonts w:ascii="Times New Roman" w:hAnsi="Times New Roman"/>
          <w:szCs w:val="24"/>
          <w:lang w:val="ru-RU"/>
        </w:rPr>
        <w:t>регламентирующи</w:t>
      </w:r>
      <w:r w:rsidR="002F7344">
        <w:rPr>
          <w:rFonts w:ascii="Times New Roman" w:hAnsi="Times New Roman"/>
          <w:szCs w:val="24"/>
          <w:lang w:val="ru-RU"/>
        </w:rPr>
        <w:t>х</w:t>
      </w:r>
      <w:r w:rsidR="002F7344" w:rsidRPr="002F7344">
        <w:rPr>
          <w:rFonts w:ascii="Times New Roman" w:hAnsi="Times New Roman"/>
          <w:szCs w:val="24"/>
          <w:lang w:val="ru-RU"/>
        </w:rPr>
        <w:t xml:space="preserve"> информационное взаимодействие при реализации общего процесса, </w:t>
      </w:r>
      <w:r w:rsidRPr="002F7344">
        <w:rPr>
          <w:rFonts w:ascii="Times New Roman" w:hAnsi="Times New Roman"/>
          <w:szCs w:val="24"/>
          <w:lang w:val="ru-RU"/>
        </w:rPr>
        <w:t xml:space="preserve">а также требования законодательства </w:t>
      </w:r>
      <w:r w:rsidR="002F7344">
        <w:rPr>
          <w:rFonts w:ascii="Times New Roman" w:hAnsi="Times New Roman"/>
          <w:szCs w:val="24"/>
          <w:lang w:val="ru-RU"/>
        </w:rPr>
        <w:br/>
      </w:r>
      <w:r w:rsidRPr="002F7344">
        <w:rPr>
          <w:rFonts w:ascii="Times New Roman" w:hAnsi="Times New Roman"/>
          <w:szCs w:val="24"/>
          <w:lang w:val="ru-RU"/>
        </w:rPr>
        <w:t xml:space="preserve">государства – члена </w:t>
      </w:r>
      <w:r w:rsidR="00940EA2" w:rsidRPr="002F7344">
        <w:rPr>
          <w:rFonts w:ascii="Times New Roman" w:hAnsi="Times New Roman"/>
          <w:szCs w:val="24"/>
          <w:lang w:val="ru-RU"/>
        </w:rPr>
        <w:t>С</w:t>
      </w:r>
      <w:r w:rsidRPr="002F7344">
        <w:rPr>
          <w:rFonts w:ascii="Times New Roman" w:hAnsi="Times New Roman"/>
          <w:szCs w:val="24"/>
          <w:lang w:val="ru-RU"/>
        </w:rPr>
        <w:t>оюза (далее – государство-член), регламентирующие информационное взаимодействие в рамках национального сегмента.</w:t>
      </w:r>
    </w:p>
    <w:p w:rsidR="003D30F2" w:rsidRPr="00F96B69" w:rsidRDefault="003D30F2" w:rsidP="002F734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 w:rsidRPr="002F7344">
        <w:rPr>
          <w:rFonts w:ascii="Times New Roman" w:hAnsi="Times New Roman"/>
          <w:szCs w:val="24"/>
          <w:lang w:val="ru-RU"/>
        </w:rPr>
        <w:t>7. Выполнение процедуры присоединения нового участника</w:t>
      </w:r>
      <w:r w:rsidRPr="00F96B69">
        <w:rPr>
          <w:rFonts w:ascii="Times New Roman" w:hAnsi="Times New Roman"/>
          <w:lang w:val="ru-RU"/>
        </w:rPr>
        <w:t xml:space="preserve"> </w:t>
      </w:r>
      <w:r w:rsidRPr="00F96B69">
        <w:rPr>
          <w:rFonts w:ascii="Times New Roman" w:hAnsi="Times New Roman"/>
          <w:lang w:val="ru-RU"/>
        </w:rPr>
        <w:br/>
        <w:t>к общему процессу включает в себя:</w:t>
      </w:r>
    </w:p>
    <w:p w:rsidR="003D30F2" w:rsidRPr="00F96B69" w:rsidRDefault="002F7344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lastRenderedPageBreak/>
        <w:t>а)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>информирование государством-членом Евразийской экономической комиссии (далее – Комиссия) о присоединении нового участника к общему процессу (с указанием уполномоченного органа, ответственного за обеспечение информационного взаимодействия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br/>
      </w:r>
      <w:r w:rsidR="002D7606">
        <w:rPr>
          <w:rFonts w:ascii="Times New Roman" w:hAnsi="Times New Roman"/>
          <w:lang w:val="ru-RU"/>
        </w:rPr>
        <w:t xml:space="preserve">не позднее даты вступления в силу </w:t>
      </w:r>
      <w:r w:rsidR="002D7606" w:rsidRPr="00921796">
        <w:rPr>
          <w:rFonts w:ascii="Times New Roman" w:hAnsi="Times New Roman"/>
          <w:lang w:val="ru-RU"/>
        </w:rPr>
        <w:t>Решени</w:t>
      </w:r>
      <w:r w:rsidR="002D7606">
        <w:rPr>
          <w:rFonts w:ascii="Times New Roman" w:hAnsi="Times New Roman"/>
          <w:lang w:val="ru-RU"/>
        </w:rPr>
        <w:t>я</w:t>
      </w:r>
      <w:r w:rsidR="002D7606" w:rsidRPr="00921796">
        <w:rPr>
          <w:rFonts w:ascii="Times New Roman" w:hAnsi="Times New Roman"/>
          <w:lang w:val="ru-RU"/>
        </w:rPr>
        <w:t xml:space="preserve"> Коллегии Евразийской экономической комиссии от                       20     г. №       </w:t>
      </w:r>
      <w:r w:rsidR="002D7606">
        <w:rPr>
          <w:rFonts w:ascii="Times New Roman" w:hAnsi="Times New Roman"/>
          <w:lang w:val="ru-RU"/>
        </w:rPr>
        <w:br/>
        <w:t>«</w:t>
      </w:r>
      <w:r w:rsidR="002D7606" w:rsidRPr="00921796">
        <w:rPr>
          <w:rFonts w:ascii="Times New Roman" w:hAnsi="Times New Roman"/>
          <w:lang w:val="ru-RU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</w:t>
      </w:r>
      <w:bookmarkStart w:id="3" w:name="_GoBack"/>
      <w:bookmarkEnd w:id="3"/>
      <w:r w:rsidR="003D30F2" w:rsidRPr="00F96B69">
        <w:rPr>
          <w:rFonts w:ascii="Times New Roman" w:hAnsi="Times New Roman"/>
          <w:lang w:val="ru-RU"/>
        </w:rPr>
        <w:t>);</w:t>
      </w:r>
    </w:p>
    <w:p w:rsidR="003D30F2" w:rsidRPr="00F96B69" w:rsidRDefault="002F7344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>внесение при необходимости в нормативные правовые акты государства-члена изменений, необходимых для выполнения требований технологических документов</w:t>
      </w:r>
      <w:r w:rsidR="00E262A9">
        <w:rPr>
          <w:rFonts w:ascii="Times New Roman" w:hAnsi="Times New Roman"/>
          <w:lang w:val="ru-RU"/>
        </w:rPr>
        <w:t xml:space="preserve">, </w:t>
      </w:r>
      <w:r w:rsidR="00E262A9" w:rsidRPr="002F7344">
        <w:rPr>
          <w:rFonts w:ascii="Times New Roman" w:hAnsi="Times New Roman"/>
          <w:szCs w:val="24"/>
          <w:lang w:val="ru-RU"/>
        </w:rPr>
        <w:t>регламентирующи</w:t>
      </w:r>
      <w:r w:rsidR="00E262A9">
        <w:rPr>
          <w:rFonts w:ascii="Times New Roman" w:hAnsi="Times New Roman"/>
          <w:szCs w:val="24"/>
          <w:lang w:val="ru-RU"/>
        </w:rPr>
        <w:t>х</w:t>
      </w:r>
      <w:r w:rsidR="00E262A9" w:rsidRPr="002F7344">
        <w:rPr>
          <w:rFonts w:ascii="Times New Roman" w:hAnsi="Times New Roman"/>
          <w:szCs w:val="24"/>
          <w:lang w:val="ru-RU"/>
        </w:rPr>
        <w:t xml:space="preserve"> информационное взаимодействие при реализации общего процесса</w:t>
      </w:r>
      <w:r w:rsidR="003D30F2" w:rsidRPr="00F96B69">
        <w:rPr>
          <w:rFonts w:ascii="Times New Roman" w:hAnsi="Times New Roman"/>
          <w:lang w:val="ru-RU"/>
        </w:rPr>
        <w:t xml:space="preserve"> (в течение 2 месяцев </w:t>
      </w:r>
      <w:r w:rsidR="00E262A9">
        <w:rPr>
          <w:rFonts w:ascii="Times New Roman" w:hAnsi="Times New Roman"/>
          <w:lang w:val="ru-RU"/>
        </w:rPr>
        <w:br/>
      </w:r>
      <w:r w:rsidR="003D30F2" w:rsidRPr="00F96B69">
        <w:rPr>
          <w:rFonts w:ascii="Times New Roman" w:hAnsi="Times New Roman"/>
          <w:lang w:val="ru-RU"/>
        </w:rPr>
        <w:t>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 xml:space="preserve">разработку (доработку) информационной системы присоединяющегося участника общего процесса (в течение </w:t>
      </w:r>
      <w:r>
        <w:rPr>
          <w:rFonts w:ascii="Times New Roman" w:hAnsi="Times New Roman"/>
          <w:lang w:val="ru-RU"/>
        </w:rPr>
        <w:t>5</w:t>
      </w:r>
      <w:r w:rsidR="003D30F2" w:rsidRPr="00F96B69">
        <w:rPr>
          <w:rFonts w:ascii="Times New Roman" w:hAnsi="Times New Roman"/>
          <w:lang w:val="ru-RU"/>
        </w:rPr>
        <w:t xml:space="preserve"> месяцев </w:t>
      </w:r>
      <w:r w:rsidR="003D30F2" w:rsidRPr="00F96B69">
        <w:rPr>
          <w:rFonts w:ascii="Times New Roman" w:hAnsi="Times New Roman"/>
          <w:lang w:val="ru-RU"/>
        </w:rPr>
        <w:br/>
        <w:t>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 xml:space="preserve">подключение информационной системы присоединяющегося участника общего процесса к национальному сегменту, если такое подключение не было осуществлено ранее (в течение </w:t>
      </w:r>
      <w:r>
        <w:rPr>
          <w:rFonts w:ascii="Times New Roman" w:hAnsi="Times New Roman"/>
          <w:lang w:val="ru-RU"/>
        </w:rPr>
        <w:t>6</w:t>
      </w:r>
      <w:r w:rsidR="003D30F2" w:rsidRPr="00F96B69">
        <w:rPr>
          <w:rFonts w:ascii="Times New Roman" w:hAnsi="Times New Roman"/>
          <w:lang w:val="ru-RU"/>
        </w:rPr>
        <w:t xml:space="preserve"> месяц</w:t>
      </w:r>
      <w:r>
        <w:rPr>
          <w:rFonts w:ascii="Times New Roman" w:hAnsi="Times New Roman"/>
          <w:lang w:val="ru-RU"/>
        </w:rPr>
        <w:t>ев</w:t>
      </w:r>
      <w:r w:rsidR="003D30F2" w:rsidRPr="00F96B69">
        <w:rPr>
          <w:rFonts w:ascii="Times New Roman" w:hAnsi="Times New Roman"/>
          <w:lang w:val="ru-RU"/>
        </w:rPr>
        <w:t xml:space="preserve"> </w:t>
      </w:r>
      <w:r w:rsidR="003D30F2" w:rsidRPr="00F96B69">
        <w:rPr>
          <w:rFonts w:ascii="Times New Roman" w:hAnsi="Times New Roman"/>
          <w:lang w:val="ru-RU"/>
        </w:rPr>
        <w:br/>
        <w:t>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д)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>получение присоединяющимся участником общего процесса справочников и классификаторов, распространяемых администратором, указанных в Правилах информационного взаимодействия</w:t>
      </w:r>
      <w:r>
        <w:rPr>
          <w:rFonts w:ascii="Times New Roman" w:hAnsi="Times New Roman"/>
          <w:lang w:val="ru-RU"/>
        </w:rPr>
        <w:t xml:space="preserve"> </w:t>
      </w:r>
      <w:r w:rsidRPr="00F96B69">
        <w:rPr>
          <w:rFonts w:ascii="Times New Roman" w:hAnsi="Times New Roman"/>
          <w:lang w:val="ru-RU"/>
        </w:rPr>
        <w:t xml:space="preserve">(в течение </w:t>
      </w:r>
      <w:r>
        <w:rPr>
          <w:rFonts w:ascii="Times New Roman" w:hAnsi="Times New Roman"/>
          <w:lang w:val="ru-RU"/>
        </w:rPr>
        <w:t>3</w:t>
      </w:r>
      <w:r w:rsidRPr="00F96B69">
        <w:rPr>
          <w:rFonts w:ascii="Times New Roman" w:hAnsi="Times New Roman"/>
          <w:lang w:val="ru-RU"/>
        </w:rPr>
        <w:t xml:space="preserve"> месяц</w:t>
      </w:r>
      <w:r>
        <w:rPr>
          <w:rFonts w:ascii="Times New Roman" w:hAnsi="Times New Roman"/>
          <w:lang w:val="ru-RU"/>
        </w:rPr>
        <w:t>ев</w:t>
      </w:r>
      <w:r w:rsidRPr="00F96B69">
        <w:rPr>
          <w:rFonts w:ascii="Times New Roman" w:hAnsi="Times New Roman"/>
          <w:lang w:val="ru-RU"/>
        </w:rPr>
        <w:t xml:space="preserve"> с даты начала выполнения процедуры присоединения)</w:t>
      </w:r>
      <w:r w:rsidR="003D30F2" w:rsidRPr="00F96B69">
        <w:rPr>
          <w:rFonts w:ascii="Times New Roman" w:hAnsi="Times New Roman"/>
          <w:lang w:val="ru-RU"/>
        </w:rPr>
        <w:t>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е)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 xml:space="preserve">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(в течение </w:t>
      </w:r>
      <w:r w:rsidR="00747D58">
        <w:rPr>
          <w:rFonts w:ascii="Times New Roman" w:hAnsi="Times New Roman"/>
          <w:lang w:val="ru-RU"/>
        </w:rPr>
        <w:t>9</w:t>
      </w:r>
      <w:r w:rsidR="003D30F2" w:rsidRPr="00F96B69">
        <w:rPr>
          <w:rFonts w:ascii="Times New Roman" w:hAnsi="Times New Roman"/>
          <w:lang w:val="ru-RU"/>
        </w:rPr>
        <w:t xml:space="preserve"> месяцев 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ж)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szCs w:val="24"/>
          <w:lang w:val="ru-RU"/>
        </w:rPr>
        <w:t xml:space="preserve">передачу </w:t>
      </w:r>
      <w:r w:rsidR="00D41E8C" w:rsidRPr="00F96B69">
        <w:rPr>
          <w:rFonts w:ascii="Times New Roman" w:hAnsi="Times New Roman"/>
          <w:szCs w:val="24"/>
          <w:lang w:val="ru-RU"/>
        </w:rPr>
        <w:t xml:space="preserve">администратору </w:t>
      </w:r>
      <w:r w:rsidR="002C6574" w:rsidRPr="00F96B69">
        <w:rPr>
          <w:rFonts w:ascii="Times New Roman" w:hAnsi="Times New Roman"/>
          <w:szCs w:val="24"/>
          <w:lang w:val="ru-RU"/>
        </w:rPr>
        <w:t xml:space="preserve">сведений для </w:t>
      </w:r>
      <w:r w:rsidR="00E12777" w:rsidRPr="00F96B69">
        <w:rPr>
          <w:rFonts w:ascii="Times New Roman" w:hAnsi="Times New Roman"/>
          <w:szCs w:val="24"/>
          <w:lang w:val="ru-RU"/>
        </w:rPr>
        <w:t xml:space="preserve">первоначального </w:t>
      </w:r>
      <w:r w:rsidR="002C6574" w:rsidRPr="00F96B69">
        <w:rPr>
          <w:rFonts w:ascii="Times New Roman" w:hAnsi="Times New Roman"/>
          <w:szCs w:val="24"/>
          <w:lang w:val="ru-RU"/>
        </w:rPr>
        <w:t>включения в сборник предварительных решений (</w:t>
      </w:r>
      <w:r w:rsidR="003D30F2" w:rsidRPr="00F96B69">
        <w:rPr>
          <w:rFonts w:ascii="Times New Roman" w:hAnsi="Times New Roman"/>
          <w:szCs w:val="24"/>
          <w:lang w:val="ru-RU"/>
        </w:rPr>
        <w:t xml:space="preserve">после завершения </w:t>
      </w:r>
      <w:r w:rsidR="003D30F2" w:rsidRPr="00F96B69">
        <w:rPr>
          <w:rFonts w:ascii="Times New Roman" w:hAnsi="Times New Roman"/>
          <w:lang w:val="ru-RU"/>
        </w:rPr>
        <w:t>тестирования информационного взаимодействия между информационными системами присоединяющихся участников общего процесса и администратора</w:t>
      </w:r>
      <w:r w:rsidR="003D30F2" w:rsidRPr="00F96B69">
        <w:rPr>
          <w:rFonts w:ascii="Times New Roman" w:hAnsi="Times New Roman"/>
          <w:szCs w:val="24"/>
          <w:lang w:val="ru-RU"/>
        </w:rPr>
        <w:t>);</w:t>
      </w:r>
    </w:p>
    <w:p w:rsidR="003D30F2" w:rsidRDefault="00E262A9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з)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подтверждение администратором факта получения и обработки сведений 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E262A9" w:rsidRPr="00F96B69" w:rsidRDefault="00E262A9" w:rsidP="00D41DC2">
      <w:pPr>
        <w:pStyle w:val="af6"/>
        <w:tabs>
          <w:tab w:val="left" w:pos="1134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8. Получение присоединяющимся участником общего процесса справочников и классификаторов, указанных в Правилах информационного взаимодействия, осуществляется в соответствии </w:t>
      </w:r>
      <w:r>
        <w:rPr>
          <w:rFonts w:ascii="Times New Roman" w:hAnsi="Times New Roman" w:cs="Times New Roman"/>
          <w:lang w:val="ru-RU"/>
        </w:rPr>
        <w:br/>
        <w:t xml:space="preserve">с технологическими документами, регламентирующими информационное взаимодействие при реализации общего процесса, определенного пунктом 11 Перечня общих процессов в рамках Евразийского экономического союза, утвержденного Решением Коллегии Комиссии от 14 апреля 2015 года №29, а также </w:t>
      </w:r>
      <w:r>
        <w:rPr>
          <w:rFonts w:ascii="Times New Roman" w:hAnsi="Times New Roman" w:cs="Times New Roman"/>
          <w:lang w:val="ru-RU"/>
        </w:rPr>
        <w:br/>
        <w:t>с использованием средств информационного портала Союза.</w:t>
      </w:r>
    </w:p>
    <w:p w:rsidR="00D41E8C" w:rsidRPr="00F96B69" w:rsidRDefault="00E262A9" w:rsidP="00212063">
      <w:pPr>
        <w:pStyle w:val="af6"/>
        <w:tabs>
          <w:tab w:val="left" w:pos="1134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9</w:t>
      </w:r>
      <w:r w:rsidR="00D41E8C" w:rsidRPr="00F96B69">
        <w:rPr>
          <w:rFonts w:ascii="Times New Roman" w:hAnsi="Times New Roman"/>
          <w:szCs w:val="24"/>
          <w:lang w:val="ru-RU"/>
        </w:rPr>
        <w:t xml:space="preserve">. Сведения для первоначального включения в сборник предварительных решений должны включать полные актуальные </w:t>
      </w:r>
      <w:r w:rsidR="00D41E8C" w:rsidRPr="00F96B69">
        <w:rPr>
          <w:rFonts w:ascii="Times New Roman" w:hAnsi="Times New Roman"/>
          <w:szCs w:val="24"/>
          <w:lang w:val="ru-RU"/>
        </w:rPr>
        <w:br/>
        <w:t>на момент представления сведения из прин</w:t>
      </w:r>
      <w:r w:rsidR="00212063">
        <w:rPr>
          <w:rFonts w:ascii="Times New Roman" w:hAnsi="Times New Roman"/>
          <w:szCs w:val="24"/>
          <w:lang w:val="ru-RU"/>
        </w:rPr>
        <w:t>ятых</w:t>
      </w:r>
      <w:r w:rsidR="00D41E8C" w:rsidRPr="00F96B69">
        <w:rPr>
          <w:rFonts w:ascii="Times New Roman" w:hAnsi="Times New Roman"/>
          <w:szCs w:val="24"/>
          <w:lang w:val="ru-RU"/>
        </w:rPr>
        <w:t xml:space="preserve"> таможенными органами государства-члена предварительных решений о классификации товаров, срок действия которых не истек, которые не были изменены </w:t>
      </w:r>
      <w:r w:rsidR="00212063">
        <w:rPr>
          <w:rFonts w:ascii="Times New Roman" w:hAnsi="Times New Roman"/>
          <w:szCs w:val="24"/>
          <w:lang w:val="ru-RU"/>
        </w:rPr>
        <w:br/>
      </w:r>
      <w:r w:rsidR="00D41E8C" w:rsidRPr="00F96B69">
        <w:rPr>
          <w:rFonts w:ascii="Times New Roman" w:hAnsi="Times New Roman"/>
          <w:szCs w:val="24"/>
          <w:lang w:val="ru-RU"/>
        </w:rPr>
        <w:t>(были изменены), не были отозваны и действие которых не прекращено.</w:t>
      </w:r>
    </w:p>
    <w:p w:rsidR="003D30F2" w:rsidRPr="00F96B69" w:rsidRDefault="00E262A9" w:rsidP="00D41E8C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lastRenderedPageBreak/>
        <w:t>10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. 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>С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ведения 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представляются в виде XML-документа. 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Структура и реквизитный состав передаваемого XML-документа, содержащего сведения 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, должны соответствовать структуре электронного документа (сведений) «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по классификации товаров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 (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>R.CA.GC.02.001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), приведенной 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в Описании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«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>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», утвержденном Решением Коллегии Евразийской экономической комиссии от                    г. №        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(далее – Описание форматов и структур электронных документов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и сведений).</w:t>
      </w:r>
    </w:p>
    <w:p w:rsidR="003D30F2" w:rsidRPr="00F96B69" w:rsidRDefault="00D41E8C" w:rsidP="00D41E8C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F96B69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E262A9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. При заполнении отдельных реквизитов XML-документа, содержащего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сведения 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, соблюдаются требования, установленные 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при реализации средствами интегрированной информационной системы Евразийского экономического союза общего процесса «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Формирование сборника принятых предварительных решений таможенных органов государств – членов Евразийского экономического союза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br/>
        <w:t>по классификации товаров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», утвержденным Решением Коллегии Евразийской экономической комиссии от              г. №      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E262A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lastRenderedPageBreak/>
        <w:t xml:space="preserve">(далее – Регламент информационного взаимодействия), в отношении сведений, передаваемых в сообщении «Сведения для включения </w:t>
      </w:r>
      <w:r w:rsidR="00E262A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в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 (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P.GC.02.MSG.001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), с учетом следующих особенностей:</w:t>
      </w:r>
    </w:p>
    <w:p w:rsidR="003D30F2" w:rsidRPr="00E864DF" w:rsidRDefault="00E262A9" w:rsidP="00C506C5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а)</w:t>
      </w:r>
      <w:r w:rsidRPr="00F96B69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к заполнению отдельных реквизитов XML-документа, содержащего сведения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, не применяются требования, имеющие коды</w:t>
      </w:r>
      <w:r w:rsidR="003D30F2" w:rsidRPr="00E864DF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C55608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C506C5">
        <w:rPr>
          <w:rFonts w:ascii="Times New Roman" w:eastAsia="Times New Roman" w:hAnsi="Times New Roman" w:cs="Times New Roman"/>
          <w:szCs w:val="24"/>
          <w:lang w:val="ru-RU"/>
        </w:rPr>
        <w:t>2, 14</w:t>
      </w:r>
      <w:r w:rsidR="003947CC">
        <w:rPr>
          <w:rFonts w:ascii="Times New Roman" w:eastAsia="Times New Roman" w:hAnsi="Times New Roman" w:cs="Times New Roman"/>
          <w:szCs w:val="24"/>
          <w:lang w:val="ru-RU"/>
        </w:rPr>
        <w:t xml:space="preserve"> и</w:t>
      </w:r>
      <w:r w:rsidR="00C55608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3947CC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4842A9">
        <w:rPr>
          <w:rFonts w:ascii="Times New Roman" w:eastAsia="Times New Roman" w:hAnsi="Times New Roman" w:cs="Times New Roman"/>
          <w:szCs w:val="24"/>
          <w:lang w:val="ru-RU"/>
        </w:rPr>
        <w:t>7;</w:t>
      </w:r>
    </w:p>
    <w:p w:rsidR="003D30F2" w:rsidRPr="00E864DF" w:rsidRDefault="003D30F2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б)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ab/>
        <w:t>для реквизита «Код электронного документа (сведений)» (</w:t>
      </w:r>
      <w:r w:rsidRPr="00B85B6C">
        <w:rPr>
          <w:rFonts w:ascii="Times New Roman" w:eastAsia="Times New Roman" w:hAnsi="Times New Roman" w:cs="Times New Roman"/>
          <w:noProof/>
          <w:szCs w:val="24"/>
        </w:rPr>
        <w:t>csdo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B85B6C">
        <w:rPr>
          <w:rFonts w:ascii="Times New Roman" w:eastAsia="Times New Roman" w:hAnsi="Times New Roman" w:cs="Times New Roman"/>
          <w:noProof/>
          <w:szCs w:val="24"/>
        </w:rPr>
        <w:t>EDocCode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) устанавливается значение «</w:t>
      </w:r>
      <w:r w:rsidR="00B85B6C" w:rsidRPr="00B85B6C">
        <w:rPr>
          <w:rFonts w:ascii="Times New Roman" w:eastAsia="Times New Roman" w:hAnsi="Times New Roman" w:cs="Times New Roman"/>
          <w:szCs w:val="24"/>
          <w:lang w:val="ru-RU"/>
        </w:rPr>
        <w:t>R.CA.GC.02.001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»;</w:t>
      </w:r>
    </w:p>
    <w:p w:rsidR="003D30F2" w:rsidRPr="00E864DF" w:rsidRDefault="003D30F2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в)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ab/>
        <w:t>для реквизита «Код сообщения общего процесса» (</w:t>
      </w:r>
      <w:r w:rsidRPr="00B85B6C">
        <w:rPr>
          <w:rFonts w:ascii="Times New Roman" w:eastAsia="Times New Roman" w:hAnsi="Times New Roman" w:cs="Times New Roman"/>
          <w:noProof/>
          <w:szCs w:val="24"/>
        </w:rPr>
        <w:t>csdo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B85B6C">
        <w:rPr>
          <w:rFonts w:ascii="Times New Roman" w:eastAsia="Times New Roman" w:hAnsi="Times New Roman" w:cs="Times New Roman"/>
          <w:noProof/>
          <w:szCs w:val="24"/>
        </w:rPr>
        <w:t>InfEnvelopeCode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) устанавливается значение «</w:t>
      </w:r>
      <w:r w:rsidR="00B85B6C" w:rsidRPr="00B85B6C">
        <w:rPr>
          <w:rFonts w:ascii="Times New Roman" w:eastAsia="Times New Roman" w:hAnsi="Times New Roman" w:cs="Times New Roman"/>
          <w:szCs w:val="24"/>
          <w:lang w:val="ru-RU"/>
        </w:rPr>
        <w:t>P.GC.02.MSG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.000»;</w:t>
      </w:r>
    </w:p>
    <w:p w:rsidR="00C506C5" w:rsidRDefault="003D30F2" w:rsidP="00212063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г)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ab/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в передаваемом сообщении не должно содержаться сложных реквизитов</w:t>
      </w:r>
      <w:r w:rsidR="001F71D6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«Регистрационный номер предварительного решения» (</w:t>
      </w:r>
      <w:r w:rsidR="00836A6C" w:rsidRPr="00836A6C">
        <w:rPr>
          <w:rFonts w:asciiTheme="majorBidi" w:hAnsiTheme="majorBidi" w:cstheme="majorBidi"/>
          <w:noProof/>
        </w:rPr>
        <w:t>cacdo</w:t>
      </w:r>
      <w:r w:rsidR="00836A6C" w:rsidRPr="00DE49E8">
        <w:rPr>
          <w:rFonts w:asciiTheme="majorBidi" w:hAnsiTheme="majorBidi" w:cstheme="majorBidi"/>
          <w:noProof/>
          <w:lang w:val="ru-RU"/>
        </w:rPr>
        <w:t>:</w:t>
      </w:r>
      <w:r w:rsidR="00836A6C" w:rsidRPr="00836A6C">
        <w:rPr>
          <w:rFonts w:asciiTheme="majorBidi" w:hAnsiTheme="majorBidi" w:cstheme="majorBidi"/>
          <w:noProof/>
        </w:rPr>
        <w:t>PreDecisionIdDetails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1F71D6">
        <w:rPr>
          <w:rFonts w:ascii="Times New Roman" w:eastAsia="Times New Roman" w:hAnsi="Times New Roman" w:cs="Times New Roman"/>
          <w:szCs w:val="24"/>
          <w:lang w:val="ru-RU"/>
        </w:rPr>
        <w:t>, совпадающих между собой по значени</w:t>
      </w:r>
      <w:r w:rsidR="008F4472">
        <w:rPr>
          <w:rFonts w:ascii="Times New Roman" w:eastAsia="Times New Roman" w:hAnsi="Times New Roman" w:cs="Times New Roman"/>
          <w:szCs w:val="24"/>
          <w:lang w:val="ru-RU"/>
        </w:rPr>
        <w:t>ям</w:t>
      </w:r>
      <w:r w:rsidR="001F71D6">
        <w:rPr>
          <w:rFonts w:ascii="Times New Roman" w:eastAsia="Times New Roman" w:hAnsi="Times New Roman" w:cs="Times New Roman"/>
          <w:szCs w:val="24"/>
          <w:lang w:val="ru-RU"/>
        </w:rPr>
        <w:t xml:space="preserve"> реквизитов 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 xml:space="preserve">«Код страны» </w:t>
      </w:r>
      <w:r w:rsidR="00836A6C">
        <w:rPr>
          <w:rFonts w:ascii="Times New Roman" w:eastAsia="Times New Roman" w:hAnsi="Times New Roman" w:cs="Times New Roman"/>
          <w:szCs w:val="24"/>
          <w:lang w:val="ru-RU"/>
        </w:rPr>
        <w:t>(</w:t>
      </w:r>
      <w:r w:rsidR="00836A6C" w:rsidRPr="00836A6C">
        <w:rPr>
          <w:rFonts w:asciiTheme="majorBidi" w:hAnsiTheme="majorBidi" w:cstheme="majorBidi"/>
          <w:noProof/>
        </w:rPr>
        <w:t>csdo</w:t>
      </w:r>
      <w:r w:rsidR="00836A6C" w:rsidRPr="00DE49E8">
        <w:rPr>
          <w:rFonts w:asciiTheme="majorBidi" w:hAnsiTheme="majorBidi" w:cstheme="majorBidi"/>
          <w:noProof/>
          <w:lang w:val="ru-RU"/>
        </w:rPr>
        <w:t>:</w:t>
      </w:r>
      <w:r w:rsidR="00836A6C" w:rsidRPr="00836A6C">
        <w:rPr>
          <w:rFonts w:asciiTheme="majorBidi" w:hAnsiTheme="majorBidi" w:cstheme="majorBidi"/>
          <w:noProof/>
        </w:rPr>
        <w:t>UnifiedCountryCode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), «Код таможенного органа» (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csdo</w:t>
      </w:r>
      <w:r w:rsidR="001F71D6"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CustomsOfficeCode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), «Дата документа» (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csdo</w:t>
      </w:r>
      <w:r w:rsidR="001F71D6"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DocCreationDate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 и «Порядковый номер предварительного решения» (</w:t>
      </w:r>
      <w:r w:rsidR="00836A6C" w:rsidRPr="00836A6C">
        <w:rPr>
          <w:rFonts w:asciiTheme="majorBidi" w:hAnsiTheme="majorBidi" w:cstheme="majorBidi"/>
          <w:noProof/>
        </w:rPr>
        <w:t>casdo</w:t>
      </w:r>
      <w:r w:rsidR="00836A6C" w:rsidRPr="00DE49E8">
        <w:rPr>
          <w:rFonts w:asciiTheme="majorBidi" w:hAnsiTheme="majorBidi" w:cstheme="majorBidi"/>
          <w:noProof/>
          <w:lang w:val="ru-RU"/>
        </w:rPr>
        <w:t>:</w:t>
      </w:r>
      <w:r w:rsidR="00836A6C" w:rsidRPr="00836A6C">
        <w:rPr>
          <w:rFonts w:asciiTheme="majorBidi" w:hAnsiTheme="majorBidi" w:cstheme="majorBidi"/>
          <w:noProof/>
        </w:rPr>
        <w:t>PreDecisionId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C506C5">
        <w:rPr>
          <w:rFonts w:ascii="Times New Roman" w:eastAsia="Times New Roman" w:hAnsi="Times New Roman" w:cs="Times New Roman"/>
          <w:szCs w:val="24"/>
          <w:lang w:val="ru-RU"/>
        </w:rPr>
        <w:t>;</w:t>
      </w:r>
    </w:p>
    <w:p w:rsidR="002B0A1F" w:rsidRDefault="00C506C5" w:rsidP="002B0A1F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д) </w:t>
      </w:r>
      <w:r w:rsidR="002B0A1F">
        <w:rPr>
          <w:rFonts w:ascii="Times New Roman" w:eastAsia="Times New Roman" w:hAnsi="Times New Roman" w:cs="Times New Roman"/>
          <w:szCs w:val="24"/>
          <w:lang w:val="ru-RU"/>
        </w:rPr>
        <w:t xml:space="preserve">для каждого экземпляра сложного реквизита </w:t>
      </w:r>
      <w:r w:rsidR="002B0A1F" w:rsidRPr="002B0A1F">
        <w:rPr>
          <w:rFonts w:ascii="Times New Roman" w:eastAsia="Times New Roman" w:hAnsi="Times New Roman" w:cs="Times New Roman"/>
          <w:szCs w:val="24"/>
          <w:lang w:val="ru-RU"/>
        </w:rPr>
        <w:t>«Сведения сборника предварительных решений по классификации товаров» (</w:t>
      </w:r>
      <w:r w:rsidR="002B0A1F" w:rsidRPr="002B0A1F">
        <w:rPr>
          <w:rFonts w:ascii="Times New Roman" w:eastAsia="Times New Roman" w:hAnsi="Times New Roman" w:cs="Times New Roman"/>
          <w:noProof/>
          <w:szCs w:val="24"/>
        </w:rPr>
        <w:t>cacdo</w:t>
      </w:r>
      <w:r w:rsidR="002B0A1F"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="002B0A1F" w:rsidRPr="002B0A1F">
        <w:rPr>
          <w:rFonts w:ascii="Times New Roman" w:eastAsia="Times New Roman" w:hAnsi="Times New Roman" w:cs="Times New Roman"/>
          <w:noProof/>
          <w:szCs w:val="24"/>
        </w:rPr>
        <w:t>RegistryClassificationDecisionDetails</w:t>
      </w:r>
      <w:r w:rsidR="002B0A1F" w:rsidRPr="002B0A1F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2B0A1F">
        <w:rPr>
          <w:rFonts w:ascii="Times New Roman" w:eastAsia="Times New Roman" w:hAnsi="Times New Roman" w:cs="Times New Roman"/>
          <w:szCs w:val="24"/>
          <w:lang w:val="ru-RU"/>
        </w:rPr>
        <w:t xml:space="preserve"> должны выполняться следующие условия:</w:t>
      </w:r>
    </w:p>
    <w:p w:rsidR="00C506C5" w:rsidRDefault="00C506C5" w:rsidP="002B0A1F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 xml:space="preserve">если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реквизит «Порядковый номер»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CustomsDocumentOrdinalId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содерж</w:t>
      </w:r>
      <w:r>
        <w:rPr>
          <w:rFonts w:ascii="Times New Roman" w:eastAsia="Times New Roman" w:hAnsi="Times New Roman" w:cs="Times New Roman"/>
          <w:szCs w:val="24"/>
          <w:lang w:val="ru-RU"/>
        </w:rPr>
        <w:t>ит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значение «01»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значение реквизита «Дата»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EventDate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) в составе сложного реквизита «Статус»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lastRenderedPageBreak/>
        <w:t>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CAStatusDetails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должно совпадать со значением реквизита «Дата документа»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DocCreationDate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Cs w:val="24"/>
          <w:lang w:val="ru-RU"/>
        </w:rPr>
        <w:t>;</w:t>
      </w:r>
    </w:p>
    <w:p w:rsidR="002E19C6" w:rsidRDefault="002B0A1F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 xml:space="preserve">если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реквизит «Порядковый номер»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CustomsDocumentOrdinalId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содерж</w:t>
      </w:r>
      <w:r>
        <w:rPr>
          <w:rFonts w:ascii="Times New Roman" w:eastAsia="Times New Roman" w:hAnsi="Times New Roman" w:cs="Times New Roman"/>
          <w:szCs w:val="24"/>
          <w:lang w:val="ru-RU"/>
        </w:rPr>
        <w:t>ит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значение</w:t>
      </w:r>
      <w:r>
        <w:rPr>
          <w:rFonts w:ascii="Times New Roman" w:eastAsia="Times New Roman" w:hAnsi="Times New Roman" w:cs="Times New Roman"/>
          <w:szCs w:val="24"/>
          <w:lang w:val="ru-RU"/>
        </w:rPr>
        <w:t>, отличное от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«01»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значение реквизита «Дата»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EventDate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«Статус»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CAStatusDetails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) должно 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быть </w:t>
      </w:r>
      <w:r w:rsidR="00431E88">
        <w:rPr>
          <w:rFonts w:ascii="Times New Roman" w:eastAsia="Times New Roman" w:hAnsi="Times New Roman" w:cs="Times New Roman"/>
          <w:szCs w:val="24"/>
          <w:lang w:val="ru-RU"/>
        </w:rPr>
        <w:t>не меньше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="00431E88">
        <w:rPr>
          <w:rFonts w:ascii="Times New Roman" w:eastAsia="Times New Roman" w:hAnsi="Times New Roman" w:cs="Times New Roman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Cs w:val="24"/>
          <w:lang w:val="ru-RU"/>
        </w:rPr>
        <w:t>чем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значение реквизита «Дата документа»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DocCreationDate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) </w:t>
      </w:r>
      <w:r w:rsidR="00431E88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D41E8C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3D30F2" w:rsidRPr="00E047D3" w:rsidRDefault="003D30F2" w:rsidP="00212063">
      <w:pPr>
        <w:pStyle w:val="af6"/>
        <w:tabs>
          <w:tab w:val="left" w:pos="1276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2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212063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 xml:space="preserve">Администратор подтверждает получение и успешную обработку сведений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 xml:space="preserve">. В случае отсутствия ошибок администратор вносит указанные сведения в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3D30F2" w:rsidRPr="00E047D3" w:rsidRDefault="003D30F2" w:rsidP="00212063">
      <w:pPr>
        <w:pStyle w:val="af6"/>
        <w:tabs>
          <w:tab w:val="left" w:pos="1276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3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212063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При получении протокола обработки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сведений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(далее – протокол обработки сведений), содержащего описание ошибок, присоединяющийся участник общего процесса устраняет ошибки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и повторяет процесс формирования и передачи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администратору 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XML-документа, содержащего сведения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  <w:t>в сборник предварительных решений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3D30F2" w:rsidRPr="00E047D3" w:rsidRDefault="003D30F2" w:rsidP="00212063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4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212063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Протокол обработки сведений формируется администратором на русском языке и представляется присоединяющемуся участнику общего процесса по электронной почте на адрес, информация о котором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lastRenderedPageBreak/>
        <w:t xml:space="preserve">представляется присоединяющимся участником общего процесса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до выполнения процедуры присоединения.</w:t>
      </w:r>
    </w:p>
    <w:p w:rsidR="003D30F2" w:rsidRPr="00E047D3" w:rsidRDefault="003D30F2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5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. При условии соблюдения требований и выполнении действий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в соответствии с пунктами 6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2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настоящего Порядка последующий обмен сведениями между присоединяющимся участником общего процесса и администратором осуществляется в соответствии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с технологическими документами, регламентирующими информационное взаимодействие при реализации общего процесса.</w:t>
      </w:r>
    </w:p>
    <w:p w:rsidR="00CF327B" w:rsidRPr="00132CD0" w:rsidRDefault="008352A8" w:rsidP="008352A8">
      <w:pPr>
        <w:pStyle w:val="21"/>
      </w:pPr>
      <w:r>
        <w:t>2</w:t>
      </w:r>
      <w:r w:rsidR="00CF327B" w:rsidRPr="00132CD0">
        <w:t>.</w:t>
      </w:r>
      <w:r w:rsidR="00CF327B" w:rsidRPr="00404296">
        <w:rPr>
          <w:lang w:val="en-US"/>
        </w:rPr>
        <w:t> </w:t>
      </w:r>
      <w:r w:rsidR="00CF327B">
        <w:t>Требования</w:t>
      </w:r>
      <w:r w:rsidR="00CF327B" w:rsidRPr="00132CD0">
        <w:t xml:space="preserve"> </w:t>
      </w:r>
      <w:r w:rsidR="00CF327B">
        <w:t>к</w:t>
      </w:r>
      <w:r w:rsidR="00CF327B" w:rsidRPr="00132CD0">
        <w:t xml:space="preserve"> </w:t>
      </w:r>
      <w:r w:rsidR="00CF327B">
        <w:t>параметрам</w:t>
      </w:r>
      <w:r w:rsidR="00CF327B" w:rsidRPr="00132CD0">
        <w:t xml:space="preserve"> </w:t>
      </w:r>
      <w:r w:rsidR="00CF327B">
        <w:t>передачи</w:t>
      </w:r>
    </w:p>
    <w:p w:rsidR="00004740" w:rsidRPr="00E047D3" w:rsidRDefault="00004740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6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 Передача XML-документа, содержащего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сведения </w:t>
      </w:r>
      <w:r>
        <w:rPr>
          <w:rFonts w:ascii="Times New Roman" w:eastAsia="Times New Roman" w:hAnsi="Times New Roman" w:cs="Times New Roman"/>
          <w:szCs w:val="24"/>
          <w:lang w:val="ru-RU"/>
        </w:rPr>
        <w:br/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решений,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осуществляется по электронной почте на адрес 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CIS@eecommission.org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004740" w:rsidRPr="00E047D3" w:rsidRDefault="00004740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7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. При формировании XML-документа, содержащего 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сведения 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для 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первоначального </w:t>
      </w:r>
      <w:r>
        <w:rPr>
          <w:rFonts w:ascii="Times New Roman" w:eastAsia="Times New Roman" w:hAnsi="Times New Roman" w:cs="Times New Roman"/>
          <w:szCs w:val="24"/>
          <w:lang w:val="ru-RU"/>
        </w:rPr>
        <w:t>включения в сборник предварительных решений,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и протоколов их обработки используется кодировка UTF-8.</w:t>
      </w:r>
    </w:p>
    <w:p w:rsidR="00004740" w:rsidRPr="00E047D3" w:rsidRDefault="00004740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8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. Структура наименования XML-документа, содержащего сведения </w:t>
      </w:r>
      <w:r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, должна иметь вид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563CD1">
        <w:rPr>
          <w:rFonts w:ascii="Times New Roman" w:eastAsia="Times New Roman" w:hAnsi="Times New Roman" w:cs="Times New Roman"/>
          <w:szCs w:val="24"/>
        </w:rPr>
        <w:t>R</w:t>
      </w:r>
      <w:r>
        <w:rPr>
          <w:rFonts w:ascii="Times New Roman" w:eastAsia="Times New Roman" w:hAnsi="Times New Roman" w:cs="Times New Roman"/>
          <w:szCs w:val="24"/>
        </w:rPr>
        <w:t>G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C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2_XXYYYYMMDDhhmm.xml, где:</w:t>
      </w:r>
    </w:p>
    <w:p w:rsidR="00563CD1" w:rsidRPr="00F96B69" w:rsidRDefault="00563CD1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 w:rsidRPr="00DE49E8">
        <w:rPr>
          <w:rFonts w:ascii="Times New Roman" w:eastAsia="Times New Roman" w:hAnsi="Times New Roman" w:cs="Times New Roman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szCs w:val="24"/>
        </w:rPr>
        <w:t> </w:t>
      </w:r>
      <w:r w:rsidRPr="00563CD1">
        <w:rPr>
          <w:rFonts w:ascii="Times New Roman" w:eastAsia="Times New Roman" w:hAnsi="Times New Roman" w:cs="Times New Roman"/>
          <w:szCs w:val="24"/>
        </w:rPr>
        <w:t>R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 xml:space="preserve"> – </w:t>
      </w:r>
      <w:r w:rsidRPr="00F96B69">
        <w:rPr>
          <w:rFonts w:ascii="Times New Roman" w:eastAsia="Times New Roman" w:hAnsi="Times New Roman" w:cs="Times New Roman"/>
          <w:szCs w:val="24"/>
          <w:lang w:val="ru-RU"/>
        </w:rPr>
        <w:t>фиксированное значение, обозначающее предоставление сведений из принятых таможенными органами государства-члена предварительных решений о классификации товаров для первоначальной загрузки;</w:t>
      </w:r>
    </w:p>
    <w:p w:rsidR="00004740" w:rsidRPr="00E047D3" w:rsidRDefault="00563CD1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б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) </w:t>
      </w:r>
      <w:r w:rsidR="00004740">
        <w:rPr>
          <w:rFonts w:ascii="Times New Roman" w:eastAsia="Times New Roman" w:hAnsi="Times New Roman" w:cs="Times New Roman"/>
          <w:szCs w:val="24"/>
        </w:rPr>
        <w:t>G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C</w:t>
      </w:r>
      <w:r w:rsidR="00004740"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2 – фиксированное значение, обозначающее код общего процесса;</w:t>
      </w:r>
    </w:p>
    <w:p w:rsidR="00004740" w:rsidRPr="00E047D3" w:rsidRDefault="00563CD1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в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) XX – буквенный код государства-члена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уполномоченный орган которого представляет сведения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>,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в соответствии с классификатором стран мира, применяемым согласно Решению Комиссии Таможенного 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lastRenderedPageBreak/>
        <w:t>союза от 20 сентября 2010 г. № 378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«О классификаторах, используемых для заполнения таможенных документов</w:t>
      </w:r>
      <w:proofErr w:type="gramStart"/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»</w:t>
      </w:r>
      <w:proofErr w:type="gramEnd"/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;</w:t>
      </w:r>
    </w:p>
    <w:p w:rsidR="00004740" w:rsidRPr="00E047D3" w:rsidRDefault="00004740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г) YYYYMMDD – дата формирования файла (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календарный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год, месяц, день);</w:t>
      </w:r>
    </w:p>
    <w:p w:rsidR="00004740" w:rsidRPr="00E047D3" w:rsidRDefault="00004740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д) </w:t>
      </w:r>
      <w:r w:rsidRPr="00004740">
        <w:rPr>
          <w:rFonts w:ascii="Times New Roman" w:eastAsia="Times New Roman" w:hAnsi="Times New Roman" w:cs="Times New Roman"/>
          <w:noProof/>
          <w:szCs w:val="24"/>
        </w:rPr>
        <w:t>hhmm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– время формирования файла (часы, минуты).</w:t>
      </w:r>
    </w:p>
    <w:p w:rsidR="00004740" w:rsidRPr="00E047D3" w:rsidRDefault="00004740" w:rsidP="00940EA2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9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 Передача файлов по электронной почте осуществляется в виде архивного файла в формате ZIP (версия алгоритма должна быть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не ниже 2.0, расширение файла: *.</w:t>
      </w:r>
      <w:r w:rsidRPr="00004740">
        <w:rPr>
          <w:rFonts w:ascii="Times New Roman" w:eastAsia="Times New Roman" w:hAnsi="Times New Roman" w:cs="Times New Roman"/>
          <w:noProof/>
          <w:szCs w:val="24"/>
        </w:rPr>
        <w:t>zip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). Наименование архивного файла должно соответствовать требованиям, установленным пунктом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D559D4">
        <w:rPr>
          <w:rFonts w:ascii="Times New Roman" w:eastAsia="Times New Roman" w:hAnsi="Times New Roman" w:cs="Times New Roman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настоящего Порядка (например, архив </w:t>
      </w:r>
      <w:r w:rsidR="00563CD1">
        <w:rPr>
          <w:rFonts w:ascii="Times New Roman" w:eastAsia="Times New Roman" w:hAnsi="Times New Roman" w:cs="Times New Roman"/>
          <w:szCs w:val="24"/>
        </w:rPr>
        <w:t>R</w:t>
      </w:r>
      <w:r>
        <w:rPr>
          <w:rFonts w:ascii="Times New Roman" w:eastAsia="Times New Roman" w:hAnsi="Times New Roman" w:cs="Times New Roman"/>
          <w:szCs w:val="24"/>
        </w:rPr>
        <w:t>G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С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2_BY201410061733.zip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должен содержать файл </w:t>
      </w:r>
      <w:r w:rsidR="00563CD1">
        <w:rPr>
          <w:rFonts w:ascii="Times New Roman" w:eastAsia="Times New Roman" w:hAnsi="Times New Roman" w:cs="Times New Roman"/>
          <w:szCs w:val="24"/>
        </w:rPr>
        <w:t>R</w:t>
      </w:r>
      <w:r>
        <w:rPr>
          <w:rFonts w:ascii="Times New Roman" w:eastAsia="Times New Roman" w:hAnsi="Times New Roman" w:cs="Times New Roman"/>
          <w:szCs w:val="24"/>
        </w:rPr>
        <w:t>GC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2_BY201410061733.xml). </w:t>
      </w:r>
      <w:r w:rsidR="00940EA2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В теме сообщения электронной почты указываются код структуры электронного документа и версия структуры электронного документа </w:t>
      </w:r>
      <w:r w:rsidR="00940EA2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в соответствии с Описанием форматов и структур электронных документов и сведений (например, 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R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CA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GC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02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001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_V_x_y_z, где «</w:t>
      </w:r>
      <w:r w:rsidRPr="00004740">
        <w:rPr>
          <w:rFonts w:ascii="Times New Roman" w:eastAsia="Times New Roman" w:hAnsi="Times New Roman" w:cs="Times New Roman"/>
          <w:noProof/>
          <w:szCs w:val="24"/>
        </w:rPr>
        <w:t>x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noProof/>
          <w:szCs w:val="24"/>
        </w:rPr>
        <w:t>y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noProof/>
          <w:szCs w:val="24"/>
        </w:rPr>
        <w:t>z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» – номер версии структуры электронного документа), а также наименование </w:t>
      </w:r>
      <w:r>
        <w:rPr>
          <w:rFonts w:ascii="Times New Roman" w:eastAsia="Times New Roman" w:hAnsi="Times New Roman" w:cs="Times New Roman"/>
          <w:szCs w:val="24"/>
          <w:lang w:val="ru-RU"/>
        </w:rPr>
        <w:t>общего информационного ресурса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– «</w:t>
      </w:r>
      <w:r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 по классификации товаров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».</w:t>
      </w:r>
    </w:p>
    <w:p w:rsidR="00004740" w:rsidRDefault="002C24E2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20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. Протокол обработки передается в виде текстового файла.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br/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Имя файла (без учета расширения) должно соответствовать имени обрабатываемого файла. Расширение файла должно иметь значение «.</w:t>
      </w:r>
      <w:r w:rsidR="00004740" w:rsidRPr="00004740">
        <w:rPr>
          <w:rFonts w:ascii="Times New Roman" w:eastAsia="Times New Roman" w:hAnsi="Times New Roman" w:cs="Times New Roman"/>
          <w:noProof/>
          <w:szCs w:val="24"/>
        </w:rPr>
        <w:t>txt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».</w:t>
      </w:r>
    </w:p>
    <w:tbl>
      <w:tblPr>
        <w:tblStyle w:val="ae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404296" w:rsidTr="00B30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:rsidR="00404296" w:rsidRDefault="00404296" w:rsidP="00B3021B">
            <w:pPr>
              <w:pStyle w:val="aa"/>
              <w:widowControl w:val="0"/>
              <w:spacing w:after="0" w:line="720" w:lineRule="auto"/>
              <w:ind w:firstLine="0"/>
              <w:rPr>
                <w:lang w:val="en-US"/>
              </w:rPr>
            </w:pPr>
          </w:p>
        </w:tc>
      </w:tr>
    </w:tbl>
    <w:p w:rsidR="00404296" w:rsidRPr="00C853C5" w:rsidRDefault="00404296" w:rsidP="006C6163">
      <w:pPr>
        <w:pStyle w:val="aa"/>
        <w:widowControl w:val="0"/>
        <w:spacing w:after="0" w:line="360" w:lineRule="auto"/>
        <w:rPr>
          <w:lang w:val="en-US"/>
        </w:rPr>
      </w:pPr>
    </w:p>
    <w:sectPr w:rsidR="00404296" w:rsidRPr="00C853C5" w:rsidSect="00C457BD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BC" w:rsidRDefault="00817BBC" w:rsidP="007B29FD">
      <w:pPr>
        <w:spacing w:after="0" w:line="240" w:lineRule="auto"/>
      </w:pPr>
      <w:r>
        <w:separator/>
      </w:r>
    </w:p>
  </w:endnote>
  <w:endnote w:type="continuationSeparator" w:id="0">
    <w:p w:rsidR="00817BBC" w:rsidRDefault="00817BBC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BC" w:rsidRDefault="00817BBC" w:rsidP="007B29FD">
      <w:pPr>
        <w:spacing w:after="0" w:line="240" w:lineRule="auto"/>
      </w:pPr>
      <w:r>
        <w:separator/>
      </w:r>
    </w:p>
  </w:footnote>
  <w:footnote w:type="continuationSeparator" w:id="0">
    <w:p w:rsidR="00817BBC" w:rsidRDefault="00817BBC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:rsidR="00C457BD" w:rsidRPr="00C457BD" w:rsidRDefault="00C457BD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83821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C"/>
    <w:rsid w:val="00004740"/>
    <w:rsid w:val="00021C59"/>
    <w:rsid w:val="000360D6"/>
    <w:rsid w:val="0006249B"/>
    <w:rsid w:val="00077D6A"/>
    <w:rsid w:val="00095F09"/>
    <w:rsid w:val="000C4A20"/>
    <w:rsid w:val="000D03D2"/>
    <w:rsid w:val="00117937"/>
    <w:rsid w:val="00132CD0"/>
    <w:rsid w:val="00147B69"/>
    <w:rsid w:val="0018186F"/>
    <w:rsid w:val="001B7B02"/>
    <w:rsid w:val="001C0489"/>
    <w:rsid w:val="001F71D6"/>
    <w:rsid w:val="001F727C"/>
    <w:rsid w:val="00212063"/>
    <w:rsid w:val="002723F7"/>
    <w:rsid w:val="002736A0"/>
    <w:rsid w:val="002B0A1F"/>
    <w:rsid w:val="002C24E2"/>
    <w:rsid w:val="002C6574"/>
    <w:rsid w:val="002D7606"/>
    <w:rsid w:val="002E19C6"/>
    <w:rsid w:val="002F7344"/>
    <w:rsid w:val="00301B08"/>
    <w:rsid w:val="003070FE"/>
    <w:rsid w:val="00310685"/>
    <w:rsid w:val="003313EA"/>
    <w:rsid w:val="0035674D"/>
    <w:rsid w:val="00381DFB"/>
    <w:rsid w:val="003947CC"/>
    <w:rsid w:val="00395FB1"/>
    <w:rsid w:val="003A5AAE"/>
    <w:rsid w:val="003D12D3"/>
    <w:rsid w:val="003D30F2"/>
    <w:rsid w:val="003E1246"/>
    <w:rsid w:val="00404296"/>
    <w:rsid w:val="004078BC"/>
    <w:rsid w:val="004103A1"/>
    <w:rsid w:val="004132D1"/>
    <w:rsid w:val="00425E42"/>
    <w:rsid w:val="00431E88"/>
    <w:rsid w:val="004446BD"/>
    <w:rsid w:val="00463EE2"/>
    <w:rsid w:val="00483821"/>
    <w:rsid w:val="004842A9"/>
    <w:rsid w:val="004C10B3"/>
    <w:rsid w:val="004C4ED5"/>
    <w:rsid w:val="004E46C6"/>
    <w:rsid w:val="004F77F4"/>
    <w:rsid w:val="00504939"/>
    <w:rsid w:val="00517396"/>
    <w:rsid w:val="0053652E"/>
    <w:rsid w:val="00556EE6"/>
    <w:rsid w:val="00563CD1"/>
    <w:rsid w:val="0056486D"/>
    <w:rsid w:val="005844FA"/>
    <w:rsid w:val="005C7073"/>
    <w:rsid w:val="00632B8F"/>
    <w:rsid w:val="0067206D"/>
    <w:rsid w:val="00692220"/>
    <w:rsid w:val="00692E88"/>
    <w:rsid w:val="00693887"/>
    <w:rsid w:val="006C6163"/>
    <w:rsid w:val="00703F25"/>
    <w:rsid w:val="00705ED4"/>
    <w:rsid w:val="00747D58"/>
    <w:rsid w:val="00793217"/>
    <w:rsid w:val="007B29FD"/>
    <w:rsid w:val="007D0A2D"/>
    <w:rsid w:val="007D2A0F"/>
    <w:rsid w:val="007F50D9"/>
    <w:rsid w:val="008073AA"/>
    <w:rsid w:val="00817BBC"/>
    <w:rsid w:val="0082273E"/>
    <w:rsid w:val="0082547E"/>
    <w:rsid w:val="008352A8"/>
    <w:rsid w:val="00836A6C"/>
    <w:rsid w:val="00857F8E"/>
    <w:rsid w:val="008B65E3"/>
    <w:rsid w:val="008C0F3C"/>
    <w:rsid w:val="008F4472"/>
    <w:rsid w:val="00921796"/>
    <w:rsid w:val="00923A3B"/>
    <w:rsid w:val="009246FB"/>
    <w:rsid w:val="00940EA2"/>
    <w:rsid w:val="00995D75"/>
    <w:rsid w:val="00A0428D"/>
    <w:rsid w:val="00A21F06"/>
    <w:rsid w:val="00A730BC"/>
    <w:rsid w:val="00A92CB7"/>
    <w:rsid w:val="00AA133D"/>
    <w:rsid w:val="00AA47B3"/>
    <w:rsid w:val="00AD4E45"/>
    <w:rsid w:val="00AF45F1"/>
    <w:rsid w:val="00B05B75"/>
    <w:rsid w:val="00B3021B"/>
    <w:rsid w:val="00B85B6C"/>
    <w:rsid w:val="00BB5030"/>
    <w:rsid w:val="00BB600C"/>
    <w:rsid w:val="00BE6A10"/>
    <w:rsid w:val="00BE7F02"/>
    <w:rsid w:val="00C02364"/>
    <w:rsid w:val="00C317A9"/>
    <w:rsid w:val="00C457BD"/>
    <w:rsid w:val="00C506C5"/>
    <w:rsid w:val="00C55608"/>
    <w:rsid w:val="00C82EB2"/>
    <w:rsid w:val="00C853C5"/>
    <w:rsid w:val="00CA1884"/>
    <w:rsid w:val="00CF327B"/>
    <w:rsid w:val="00D04D18"/>
    <w:rsid w:val="00D13A75"/>
    <w:rsid w:val="00D41DC2"/>
    <w:rsid w:val="00D41E8C"/>
    <w:rsid w:val="00D559D4"/>
    <w:rsid w:val="00D57C25"/>
    <w:rsid w:val="00D704EF"/>
    <w:rsid w:val="00DD2CDA"/>
    <w:rsid w:val="00DD34AB"/>
    <w:rsid w:val="00DE49E8"/>
    <w:rsid w:val="00E12777"/>
    <w:rsid w:val="00E262A9"/>
    <w:rsid w:val="00E33ABE"/>
    <w:rsid w:val="00E52030"/>
    <w:rsid w:val="00ED21D6"/>
    <w:rsid w:val="00EF17DE"/>
    <w:rsid w:val="00EF669B"/>
    <w:rsid w:val="00F03A3C"/>
    <w:rsid w:val="00F2272D"/>
    <w:rsid w:val="00F51F1A"/>
    <w:rsid w:val="00F61567"/>
    <w:rsid w:val="00F66D08"/>
    <w:rsid w:val="00F96B69"/>
    <w:rsid w:val="00FA2708"/>
    <w:rsid w:val="00FD19B5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link w:val="a9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a">
    <w:name w:val="Обычный с красной строки"/>
    <w:basedOn w:val="a"/>
    <w:link w:val="ab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b">
    <w:name w:val="Обычный с красной строки Знак"/>
    <w:basedOn w:val="a0"/>
    <w:link w:val="aa"/>
    <w:rsid w:val="007B29FD"/>
    <w:rPr>
      <w:rFonts w:ascii="Times New Roman" w:hAnsi="Times New Roman"/>
      <w:sz w:val="30"/>
    </w:rPr>
  </w:style>
  <w:style w:type="paragraph" w:customStyle="1" w:styleId="ac">
    <w:name w:val="Обычный с номером"/>
    <w:basedOn w:val="aa"/>
    <w:link w:val="ad"/>
    <w:qFormat/>
    <w:rsid w:val="007B29FD"/>
    <w:pPr>
      <w:outlineLvl w:val="2"/>
    </w:pPr>
    <w:rPr>
      <w:noProof/>
    </w:rPr>
  </w:style>
  <w:style w:type="character" w:customStyle="1" w:styleId="ad">
    <w:name w:val="Обычный с номером Знак"/>
    <w:basedOn w:val="ab"/>
    <w:link w:val="ac"/>
    <w:rsid w:val="007B29FD"/>
    <w:rPr>
      <w:rFonts w:ascii="Times New Roman" w:hAnsi="Times New Roman"/>
      <w:noProof/>
      <w:sz w:val="30"/>
    </w:rPr>
  </w:style>
  <w:style w:type="table" w:styleId="ae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">
    <w:name w:val="_Основной с красной строки"/>
    <w:basedOn w:val="a"/>
    <w:link w:val="af0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0">
    <w:name w:val="_Основной с красной строки Знак"/>
    <w:link w:val="af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1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paragraph" w:customStyle="1" w:styleId="af2">
    <w:name w:val="Для удаления"/>
    <w:basedOn w:val="aa"/>
    <w:link w:val="af3"/>
    <w:qFormat/>
    <w:rsid w:val="000C4A20"/>
    <w:pPr>
      <w:spacing w:after="0" w:line="360" w:lineRule="auto"/>
    </w:pPr>
    <w:rPr>
      <w:rFonts w:eastAsia="Times New Roman" w:cs="Times New Roman"/>
      <w:color w:val="7F7F7F" w:themeColor="text1" w:themeTint="80"/>
      <w:szCs w:val="24"/>
      <w:lang w:val="en-US" w:eastAsia="x-none"/>
    </w:rPr>
  </w:style>
  <w:style w:type="character" w:customStyle="1" w:styleId="af3">
    <w:name w:val="Для удаления Знак"/>
    <w:basedOn w:val="ab"/>
    <w:link w:val="af2"/>
    <w:rsid w:val="000C4A20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9">
    <w:name w:val="Вид документа Знак"/>
    <w:basedOn w:val="a0"/>
    <w:link w:val="a8"/>
    <w:locked/>
    <w:rsid w:val="00D704EF"/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customStyle="1" w:styleId="af5">
    <w:name w:val="Табл. текст влево"/>
    <w:basedOn w:val="a"/>
    <w:qFormat/>
    <w:rsid w:val="003A5AAE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6">
    <w:name w:val="ПВД_Обычный с номером"/>
    <w:basedOn w:val="a"/>
    <w:qFormat/>
    <w:rsid w:val="003D30F2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styleId="af7">
    <w:name w:val="Balloon Text"/>
    <w:basedOn w:val="a"/>
    <w:link w:val="af8"/>
    <w:uiPriority w:val="99"/>
    <w:semiHidden/>
    <w:unhideWhenUsed/>
    <w:rsid w:val="00272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72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5161-801F-4CEE-8FDC-7812295F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2026-01-12T14:19:00Z</dcterms:created>
  <dcterms:modified xsi:type="dcterms:W3CDTF">2026-01-12T14:33:00Z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0.2.3</vt:lpwstr>
  </property>
</Properties>
</file>