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5D58F4E" wp14:editId="1CE7A9E9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E6E0BCF" wp14:editId="5EC7FEE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190A8F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2696E" w:rsidRPr="00E82CEC" w:rsidTr="0092696E">
        <w:tc>
          <w:tcPr>
            <w:tcW w:w="3544" w:type="dxa"/>
            <w:shd w:val="clear" w:color="auto" w:fill="auto"/>
          </w:tcPr>
          <w:p w:rsidR="0092696E" w:rsidRPr="00E82CEC" w:rsidRDefault="0092696E" w:rsidP="00F054A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92696E" w:rsidRPr="00E82CEC" w:rsidRDefault="0092696E" w:rsidP="00F054A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92696E" w:rsidRPr="00E82CEC" w:rsidRDefault="0092696E" w:rsidP="00F054A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0034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 Москва</w:t>
            </w:r>
          </w:p>
        </w:tc>
      </w:tr>
    </w:tbl>
    <w:p w:rsidR="00190A8F" w:rsidRDefault="00190A8F" w:rsidP="001E4FB8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237EB" w:rsidRPr="00701881" w:rsidRDefault="00B80FAF" w:rsidP="00524032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EC08E3">
        <w:rPr>
          <w:rFonts w:ascii="Times New Roman" w:hAnsi="Times New Roman" w:cs="Times New Roman"/>
          <w:b/>
          <w:sz w:val="30"/>
          <w:szCs w:val="30"/>
        </w:rPr>
        <w:t>М</w:t>
      </w:r>
      <w:r>
        <w:rPr>
          <w:rFonts w:ascii="Times New Roman" w:hAnsi="Times New Roman" w:cs="Times New Roman"/>
          <w:b/>
          <w:sz w:val="30"/>
          <w:szCs w:val="30"/>
        </w:rPr>
        <w:t xml:space="preserve">етодологии </w:t>
      </w:r>
      <w:r w:rsidR="00524032" w:rsidRPr="007C3EB5">
        <w:rPr>
          <w:rFonts w:ascii="Times New Roman" w:hAnsi="Times New Roman" w:cs="Times New Roman"/>
          <w:b/>
          <w:sz w:val="30"/>
          <w:szCs w:val="30"/>
        </w:rPr>
        <w:t>расчета разрешенного уровня мер государственной поддержки сельского хозяйства, оказывающих искажающее воздействие на</w:t>
      </w:r>
      <w:r w:rsidR="00524032">
        <w:rPr>
          <w:rFonts w:ascii="Times New Roman" w:hAnsi="Times New Roman" w:cs="Times New Roman"/>
          <w:b/>
          <w:sz w:val="30"/>
          <w:szCs w:val="30"/>
        </w:rPr>
        <w:t xml:space="preserve"> взаимную</w:t>
      </w:r>
      <w:r w:rsidR="00524032" w:rsidRPr="007C3EB5">
        <w:rPr>
          <w:rFonts w:ascii="Times New Roman" w:hAnsi="Times New Roman" w:cs="Times New Roman"/>
          <w:b/>
          <w:sz w:val="30"/>
          <w:szCs w:val="30"/>
        </w:rPr>
        <w:t xml:space="preserve"> торговлю </w:t>
      </w:r>
      <w:r w:rsidR="00524032">
        <w:rPr>
          <w:rFonts w:ascii="Times New Roman" w:hAnsi="Times New Roman" w:cs="Times New Roman"/>
          <w:b/>
          <w:sz w:val="30"/>
          <w:szCs w:val="30"/>
        </w:rPr>
        <w:t xml:space="preserve">государств </w:t>
      </w:r>
      <w:r w:rsidR="00524032" w:rsidRPr="008F5F86">
        <w:rPr>
          <w:rFonts w:ascii="Times New Roman" w:hAnsi="Times New Roman" w:cs="Times New Roman"/>
          <w:b/>
          <w:sz w:val="30"/>
          <w:szCs w:val="30"/>
        </w:rPr>
        <w:t>–</w:t>
      </w:r>
      <w:r w:rsidR="00524032">
        <w:rPr>
          <w:rFonts w:ascii="Times New Roman" w:hAnsi="Times New Roman" w:cs="Times New Roman"/>
          <w:sz w:val="30"/>
          <w:szCs w:val="30"/>
        </w:rPr>
        <w:t xml:space="preserve"> </w:t>
      </w:r>
      <w:r w:rsidR="00524032">
        <w:rPr>
          <w:rFonts w:ascii="Times New Roman" w:hAnsi="Times New Roman" w:cs="Times New Roman"/>
          <w:b/>
          <w:sz w:val="30"/>
          <w:szCs w:val="30"/>
        </w:rPr>
        <w:t>членов Евразийского экономического союза сельскохозяйственными товарами</w:t>
      </w:r>
      <w:r w:rsidR="00106031">
        <w:rPr>
          <w:rFonts w:ascii="Times New Roman" w:hAnsi="Times New Roman" w:cs="Times New Roman"/>
          <w:b/>
          <w:sz w:val="30"/>
          <w:szCs w:val="30"/>
        </w:rPr>
        <w:t>,</w:t>
      </w:r>
      <w:r w:rsidR="00625AC9"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="00DA4765">
        <w:rPr>
          <w:rFonts w:ascii="Times New Roman" w:hAnsi="Times New Roman" w:cs="Times New Roman"/>
          <w:b/>
          <w:sz w:val="30"/>
          <w:szCs w:val="30"/>
        </w:rPr>
        <w:t>ф</w:t>
      </w:r>
      <w:r w:rsidR="00501BE3">
        <w:rPr>
          <w:rFonts w:ascii="Times New Roman" w:hAnsi="Times New Roman" w:cs="Times New Roman"/>
          <w:b/>
          <w:sz w:val="30"/>
          <w:szCs w:val="30"/>
        </w:rPr>
        <w:t>орм</w:t>
      </w:r>
      <w:r w:rsidR="00DA4765">
        <w:rPr>
          <w:rFonts w:ascii="Times New Roman" w:hAnsi="Times New Roman" w:cs="Times New Roman"/>
          <w:b/>
          <w:sz w:val="30"/>
          <w:szCs w:val="30"/>
        </w:rPr>
        <w:t>ах</w:t>
      </w:r>
      <w:r w:rsidR="000215F8">
        <w:rPr>
          <w:rFonts w:ascii="Times New Roman" w:hAnsi="Times New Roman" w:cs="Times New Roman"/>
          <w:b/>
          <w:sz w:val="30"/>
          <w:szCs w:val="30"/>
        </w:rPr>
        <w:t xml:space="preserve"> уведомлений</w:t>
      </w:r>
      <w:r w:rsidR="00A07B6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25AC9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A07B6A">
        <w:rPr>
          <w:rFonts w:ascii="Times New Roman" w:hAnsi="Times New Roman" w:cs="Times New Roman"/>
          <w:b/>
          <w:sz w:val="30"/>
          <w:szCs w:val="30"/>
        </w:rPr>
        <w:t>государственной поддержк</w:t>
      </w:r>
      <w:r w:rsidR="00625AC9">
        <w:rPr>
          <w:rFonts w:ascii="Times New Roman" w:hAnsi="Times New Roman" w:cs="Times New Roman"/>
          <w:b/>
          <w:sz w:val="30"/>
          <w:szCs w:val="30"/>
        </w:rPr>
        <w:t>е</w:t>
      </w:r>
      <w:r w:rsidR="00A07B6A">
        <w:rPr>
          <w:rFonts w:ascii="Times New Roman" w:hAnsi="Times New Roman" w:cs="Times New Roman"/>
          <w:b/>
          <w:sz w:val="30"/>
          <w:szCs w:val="30"/>
        </w:rPr>
        <w:t xml:space="preserve"> сельского хозяйства </w:t>
      </w:r>
    </w:p>
    <w:p w:rsidR="00BC648D" w:rsidRDefault="00BC648D" w:rsidP="00FF3A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A567F" w:rsidRPr="00625AC9" w:rsidRDefault="00EA567F" w:rsidP="00FF3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5AC9">
        <w:rPr>
          <w:rFonts w:ascii="Times New Roman" w:hAnsi="Times New Roman" w:cs="Times New Roman"/>
          <w:sz w:val="30"/>
          <w:szCs w:val="30"/>
        </w:rPr>
        <w:t>Руководствуясь пунктами 8 и 39 Протокола о мерах государственной поддержки сельского хозяйства (приложение № 29</w:t>
      </w:r>
      <w:r w:rsidR="00555915">
        <w:rPr>
          <w:rFonts w:ascii="Times New Roman" w:hAnsi="Times New Roman" w:cs="Times New Roman"/>
          <w:sz w:val="30"/>
          <w:szCs w:val="30"/>
        </w:rPr>
        <w:br/>
      </w:r>
      <w:r w:rsidRPr="00625AC9">
        <w:rPr>
          <w:rFonts w:ascii="Times New Roman" w:hAnsi="Times New Roman" w:cs="Times New Roman"/>
          <w:sz w:val="30"/>
          <w:szCs w:val="30"/>
        </w:rPr>
        <w:t>к Договору о Евразийском экономическом союзе от 29 мая 2014 г</w:t>
      </w:r>
      <w:r w:rsidR="00625AC9">
        <w:rPr>
          <w:rFonts w:ascii="Times New Roman" w:hAnsi="Times New Roman" w:cs="Times New Roman"/>
          <w:sz w:val="30"/>
          <w:szCs w:val="30"/>
        </w:rPr>
        <w:t>ода</w:t>
      </w:r>
      <w:r w:rsidRPr="00625AC9">
        <w:rPr>
          <w:rFonts w:ascii="Times New Roman" w:hAnsi="Times New Roman" w:cs="Times New Roman"/>
          <w:sz w:val="30"/>
          <w:szCs w:val="30"/>
        </w:rPr>
        <w:t>)</w:t>
      </w:r>
      <w:r w:rsidR="00555915">
        <w:rPr>
          <w:rFonts w:ascii="Times New Roman" w:hAnsi="Times New Roman" w:cs="Times New Roman"/>
          <w:sz w:val="30"/>
          <w:szCs w:val="30"/>
        </w:rPr>
        <w:br/>
      </w:r>
      <w:r w:rsidRPr="00625AC9">
        <w:rPr>
          <w:rFonts w:ascii="Times New Roman" w:hAnsi="Times New Roman" w:cs="Times New Roman"/>
          <w:sz w:val="30"/>
          <w:szCs w:val="30"/>
        </w:rPr>
        <w:t>и в соответствии</w:t>
      </w:r>
      <w:r w:rsidR="0005631F" w:rsidRPr="00625AC9">
        <w:rPr>
          <w:rFonts w:ascii="Times New Roman" w:hAnsi="Times New Roman" w:cs="Times New Roman"/>
          <w:sz w:val="30"/>
          <w:szCs w:val="30"/>
        </w:rPr>
        <w:t xml:space="preserve"> </w:t>
      </w:r>
      <w:r w:rsidRPr="00625AC9">
        <w:rPr>
          <w:rFonts w:ascii="Times New Roman" w:hAnsi="Times New Roman" w:cs="Times New Roman"/>
          <w:sz w:val="30"/>
          <w:szCs w:val="30"/>
        </w:rPr>
        <w:t>с пунктом 77 приложения № 1 к Регламенту работы Евразийской экономической комиссии, утвержденному Решением Высшего Евразийского экономического совета</w:t>
      </w:r>
      <w:r w:rsidR="003217FD" w:rsidRPr="00625AC9">
        <w:rPr>
          <w:rFonts w:ascii="Times New Roman" w:hAnsi="Times New Roman" w:cs="Times New Roman"/>
          <w:sz w:val="30"/>
          <w:szCs w:val="30"/>
        </w:rPr>
        <w:t xml:space="preserve"> </w:t>
      </w:r>
      <w:r w:rsidRPr="00625AC9">
        <w:rPr>
          <w:rFonts w:ascii="Times New Roman" w:hAnsi="Times New Roman" w:cs="Times New Roman"/>
          <w:sz w:val="30"/>
          <w:szCs w:val="30"/>
        </w:rPr>
        <w:t xml:space="preserve">от 23 декабря 2014 г. № 98, </w:t>
      </w:r>
      <w:r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625AC9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625AC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75475B" w:rsidRPr="00625AC9" w:rsidRDefault="00A1658B" w:rsidP="00FF3AD5">
      <w:pPr>
        <w:pStyle w:val="ab"/>
        <w:spacing w:after="0" w:line="360" w:lineRule="auto"/>
        <w:ind w:left="709" w:right="-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="00D774EA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Утвердить</w:t>
      </w:r>
      <w:r w:rsidR="00B80FAF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07B6A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прилагаемые</w:t>
      </w:r>
      <w:r w:rsidR="0075475B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75475B" w:rsidRPr="00625AC9" w:rsidRDefault="00625AC9" w:rsidP="00FF3AD5">
      <w:pPr>
        <w:pStyle w:val="ab"/>
        <w:spacing w:after="0" w:line="360" w:lineRule="auto"/>
        <w:ind w:left="0" w:right="-8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="00B80FAF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етодологи</w:t>
      </w:r>
      <w:r w:rsidR="00D774EA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</w:t>
      </w:r>
      <w:r w:rsidR="00B80FAF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64E97" w:rsidRPr="00364E97">
        <w:rPr>
          <w:rFonts w:ascii="Times New Roman" w:hAnsi="Times New Roman" w:cs="Times New Roman"/>
          <w:sz w:val="30"/>
          <w:szCs w:val="30"/>
        </w:rPr>
        <w:t>расчета разрешенного уровня мер государственной поддержки сельского хозяйства, оказывающих искажающее воздействие на взаимную торговлю государств – членов Евразийского экономического союза сельскохозяйственными товарами</w:t>
      </w:r>
      <w:r w:rsidR="0075475B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464A50" w:rsidRPr="00625AC9" w:rsidRDefault="00A1658B" w:rsidP="00FF3AD5">
      <w:pPr>
        <w:pStyle w:val="ab"/>
        <w:spacing w:after="0" w:line="360" w:lineRule="auto"/>
        <w:ind w:left="0" w:right="-8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</w:t>
      </w:r>
      <w:r w:rsidR="00A07B6A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орм</w:t>
      </w:r>
      <w:r w:rsidR="0075475B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E0335B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уведомления </w:t>
      </w:r>
      <w:r w:rsidR="00A07B6A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планируемых в текущем году программах </w:t>
      </w:r>
      <w:r w:rsidR="00E0335B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государственной поддержки сельского хозяйства</w:t>
      </w:r>
      <w:r w:rsidR="00464A50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A149B9" w:rsidRDefault="00A1658B" w:rsidP="00BC1A49">
      <w:pPr>
        <w:pStyle w:val="ab"/>
        <w:spacing w:after="0" w:line="360" w:lineRule="auto"/>
        <w:ind w:left="0" w:right="-8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</w:t>
      </w:r>
      <w:r w:rsidR="00464A50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орму уведомления</w:t>
      </w:r>
      <w:r w:rsidR="00A07B6A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предоставленной государственной поддержке </w:t>
      </w:r>
      <w:r w:rsidR="00853516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сельского хозяйства </w:t>
      </w:r>
      <w:r w:rsidR="00A07B6A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proofErr w:type="gramStart"/>
      <w:r w:rsidR="00A07B6A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отчетном</w:t>
      </w:r>
      <w:proofErr w:type="gramEnd"/>
      <w:r w:rsidR="00A07B6A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году</w:t>
      </w:r>
      <w:r w:rsidR="00783FA1" w:rsidRPr="00625AC9">
        <w:rPr>
          <w:rFonts w:ascii="Times New Roman" w:hAnsi="Times New Roman" w:cs="Times New Roman"/>
          <w:sz w:val="30"/>
          <w:szCs w:val="30"/>
        </w:rPr>
        <w:t>.</w:t>
      </w:r>
    </w:p>
    <w:p w:rsidR="00D023AC" w:rsidRPr="00BC1A49" w:rsidRDefault="00D023AC" w:rsidP="00BC1A49">
      <w:pPr>
        <w:pStyle w:val="ab"/>
        <w:spacing w:after="0" w:line="360" w:lineRule="auto"/>
        <w:ind w:left="0" w:right="-8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Признать утратившим силу Решение Коллегии Евразийской экономической комиссии от 2 июля 2014 г. № 96 «О форме уведомления об объемах государственной поддержки сельского хозяйства государства – члена Таможенного союза и Единого экономического пространства».</w:t>
      </w:r>
      <w:bookmarkStart w:id="0" w:name="_GoBack"/>
      <w:bookmarkEnd w:id="0"/>
    </w:p>
    <w:p w:rsidR="008237EB" w:rsidRPr="00625AC9" w:rsidRDefault="00D023AC" w:rsidP="00FF3AD5">
      <w:pPr>
        <w:pStyle w:val="ab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2A78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8237EB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Настоящее Решени</w:t>
      </w:r>
      <w:r w:rsidR="00EA567F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 вступает в силу по истечении</w:t>
      </w:r>
      <w:r w:rsidR="00D62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F83FAE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8237EB" w:rsidRPr="00625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 календарных дней с даты его официального опубликования.</w:t>
      </w:r>
    </w:p>
    <w:p w:rsidR="004D2156" w:rsidRDefault="004D2156" w:rsidP="004D21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223585" w:rsidRDefault="00223585" w:rsidP="004D21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223585" w:rsidRPr="00A1658B" w:rsidRDefault="00223585" w:rsidP="0022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6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23585" w:rsidRDefault="00223585" w:rsidP="0022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4B2818" w:rsidRDefault="004B2818" w:rsidP="0022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4B2818" w:rsidRPr="00AE77CF" w:rsidTr="00C3119D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4B2818" w:rsidRPr="00E450EA" w:rsidRDefault="004B2818" w:rsidP="00C3119D">
            <w:pPr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4B2818" w:rsidRPr="00E450EA" w:rsidRDefault="004B2818" w:rsidP="00C3119D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B2818" w:rsidRPr="00E450EA" w:rsidRDefault="004B2818" w:rsidP="00C3119D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4B2818" w:rsidRPr="00E450EA" w:rsidRDefault="004B2818" w:rsidP="00C3119D">
            <w:pPr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4B2818" w:rsidRPr="00E450EA" w:rsidRDefault="004B2818" w:rsidP="00C3119D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4B2818" w:rsidRPr="00AE77CF" w:rsidTr="00C3119D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4B2818" w:rsidRDefault="004B2818" w:rsidP="00C3119D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0977" w:rsidRPr="00680977" w:rsidRDefault="00680977" w:rsidP="00C3119D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4B2818" w:rsidRPr="00E450EA" w:rsidRDefault="004B2818" w:rsidP="00C3119D">
            <w:pPr>
              <w:ind w:left="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4B2818" w:rsidRDefault="004B2818" w:rsidP="00C3119D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0977" w:rsidRPr="00680977" w:rsidRDefault="00680977" w:rsidP="00C3119D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4B2818" w:rsidRPr="00E450EA" w:rsidRDefault="004B2818" w:rsidP="00C3119D">
            <w:pPr>
              <w:ind w:left="-113" w:right="-68" w:firstLine="5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4B2818" w:rsidRDefault="004B2818" w:rsidP="00C3119D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0977" w:rsidRPr="00680977" w:rsidRDefault="00680977" w:rsidP="00C3119D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4B2818" w:rsidRPr="00E450EA" w:rsidRDefault="004B2818" w:rsidP="00C3119D">
            <w:pPr>
              <w:ind w:right="-68" w:hanging="142"/>
              <w:jc w:val="center"/>
              <w:rPr>
                <w:rFonts w:ascii="Times New Roman Полужирный" w:eastAsia="Calibri" w:hAnsi="Times New Roman Полужирный"/>
                <w:i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Б. </w:t>
            </w:r>
            <w:proofErr w:type="spellStart"/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Сагинтаев</w:t>
            </w:r>
            <w:proofErr w:type="spellEnd"/>
          </w:p>
        </w:tc>
        <w:tc>
          <w:tcPr>
            <w:tcW w:w="2025" w:type="dxa"/>
            <w:vAlign w:val="bottom"/>
          </w:tcPr>
          <w:p w:rsidR="004B2818" w:rsidRPr="00E450EA" w:rsidRDefault="00E47ACF" w:rsidP="00E47ACF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7ACF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О. Панкратов</w:t>
            </w:r>
          </w:p>
        </w:tc>
        <w:tc>
          <w:tcPr>
            <w:tcW w:w="1944" w:type="dxa"/>
            <w:vAlign w:val="bottom"/>
          </w:tcPr>
          <w:p w:rsidR="004B2818" w:rsidRPr="00E450EA" w:rsidRDefault="004B2818" w:rsidP="00C3119D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4B2818" w:rsidRPr="008A6BEF" w:rsidRDefault="004B2818" w:rsidP="004B2818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4D2156" w:rsidRDefault="004D2156" w:rsidP="004D21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4D2156" w:rsidSect="00D023A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AD" w:rsidRDefault="003A4DAD" w:rsidP="004D2156">
      <w:pPr>
        <w:spacing w:after="0" w:line="240" w:lineRule="auto"/>
      </w:pPr>
      <w:r>
        <w:separator/>
      </w:r>
    </w:p>
  </w:endnote>
  <w:endnote w:type="continuationSeparator" w:id="0">
    <w:p w:rsidR="003A4DAD" w:rsidRDefault="003A4DAD" w:rsidP="004D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AD" w:rsidRDefault="003A4DAD" w:rsidP="004D2156">
      <w:pPr>
        <w:spacing w:after="0" w:line="240" w:lineRule="auto"/>
      </w:pPr>
      <w:r>
        <w:separator/>
      </w:r>
    </w:p>
  </w:footnote>
  <w:footnote w:type="continuationSeparator" w:id="0">
    <w:p w:rsidR="003A4DAD" w:rsidRDefault="003A4DAD" w:rsidP="004D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779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D2156" w:rsidRPr="004D2156" w:rsidRDefault="004D2156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D215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D215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D215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023A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D215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D2156" w:rsidRDefault="004D21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82470"/>
    <w:multiLevelType w:val="hybridMultilevel"/>
    <w:tmpl w:val="76E218A8"/>
    <w:lvl w:ilvl="0" w:tplc="8C2AA8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D7036B"/>
    <w:multiLevelType w:val="hybridMultilevel"/>
    <w:tmpl w:val="70A007C2"/>
    <w:lvl w:ilvl="0" w:tplc="F8380EA0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395E9E"/>
    <w:multiLevelType w:val="hybridMultilevel"/>
    <w:tmpl w:val="878C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90BEB"/>
    <w:multiLevelType w:val="hybridMultilevel"/>
    <w:tmpl w:val="CFB85F46"/>
    <w:lvl w:ilvl="0" w:tplc="1FE2833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0671"/>
    <w:rsid w:val="000034F9"/>
    <w:rsid w:val="000215F8"/>
    <w:rsid w:val="00021673"/>
    <w:rsid w:val="00036A17"/>
    <w:rsid w:val="00045085"/>
    <w:rsid w:val="00051BC3"/>
    <w:rsid w:val="000554AC"/>
    <w:rsid w:val="0005631F"/>
    <w:rsid w:val="0007605F"/>
    <w:rsid w:val="00094C5B"/>
    <w:rsid w:val="000B1B28"/>
    <w:rsid w:val="00106031"/>
    <w:rsid w:val="001677B2"/>
    <w:rsid w:val="00190A8F"/>
    <w:rsid w:val="001A0333"/>
    <w:rsid w:val="001C4F7C"/>
    <w:rsid w:val="001E4FB8"/>
    <w:rsid w:val="001F530E"/>
    <w:rsid w:val="00223585"/>
    <w:rsid w:val="00242BE9"/>
    <w:rsid w:val="0027624B"/>
    <w:rsid w:val="002A7831"/>
    <w:rsid w:val="002C3B70"/>
    <w:rsid w:val="002C4150"/>
    <w:rsid w:val="002F42B3"/>
    <w:rsid w:val="00307B11"/>
    <w:rsid w:val="003217FD"/>
    <w:rsid w:val="00330106"/>
    <w:rsid w:val="00352D00"/>
    <w:rsid w:val="00364E97"/>
    <w:rsid w:val="00377630"/>
    <w:rsid w:val="003A4DAD"/>
    <w:rsid w:val="003A7BCA"/>
    <w:rsid w:val="003E2A75"/>
    <w:rsid w:val="003E4EFC"/>
    <w:rsid w:val="00445DB9"/>
    <w:rsid w:val="00464A50"/>
    <w:rsid w:val="004707A0"/>
    <w:rsid w:val="0047775C"/>
    <w:rsid w:val="004A541D"/>
    <w:rsid w:val="004A6265"/>
    <w:rsid w:val="004B2818"/>
    <w:rsid w:val="004D2156"/>
    <w:rsid w:val="004F3203"/>
    <w:rsid w:val="00501BE3"/>
    <w:rsid w:val="00524032"/>
    <w:rsid w:val="00547A3B"/>
    <w:rsid w:val="00555915"/>
    <w:rsid w:val="005864E1"/>
    <w:rsid w:val="00594BFC"/>
    <w:rsid w:val="005D2243"/>
    <w:rsid w:val="00625AC9"/>
    <w:rsid w:val="00632A63"/>
    <w:rsid w:val="00642759"/>
    <w:rsid w:val="00651D7A"/>
    <w:rsid w:val="006535A4"/>
    <w:rsid w:val="00654CA7"/>
    <w:rsid w:val="00670808"/>
    <w:rsid w:val="0067300A"/>
    <w:rsid w:val="00680977"/>
    <w:rsid w:val="00690931"/>
    <w:rsid w:val="006D0047"/>
    <w:rsid w:val="00701881"/>
    <w:rsid w:val="007257AA"/>
    <w:rsid w:val="00730DEF"/>
    <w:rsid w:val="00735E62"/>
    <w:rsid w:val="0075475B"/>
    <w:rsid w:val="00783FA1"/>
    <w:rsid w:val="00794B58"/>
    <w:rsid w:val="00796AB0"/>
    <w:rsid w:val="007D134D"/>
    <w:rsid w:val="008237EB"/>
    <w:rsid w:val="00843B42"/>
    <w:rsid w:val="00853516"/>
    <w:rsid w:val="008B67CC"/>
    <w:rsid w:val="00907CAE"/>
    <w:rsid w:val="009136C1"/>
    <w:rsid w:val="0092696E"/>
    <w:rsid w:val="00941646"/>
    <w:rsid w:val="00971BB9"/>
    <w:rsid w:val="009B1209"/>
    <w:rsid w:val="009F3637"/>
    <w:rsid w:val="00A0661B"/>
    <w:rsid w:val="00A07B6A"/>
    <w:rsid w:val="00A149B9"/>
    <w:rsid w:val="00A1658B"/>
    <w:rsid w:val="00A4402D"/>
    <w:rsid w:val="00A457BD"/>
    <w:rsid w:val="00A56A76"/>
    <w:rsid w:val="00A57652"/>
    <w:rsid w:val="00A74D4F"/>
    <w:rsid w:val="00AA6E73"/>
    <w:rsid w:val="00AC1443"/>
    <w:rsid w:val="00AE09D4"/>
    <w:rsid w:val="00B24B43"/>
    <w:rsid w:val="00B80FAF"/>
    <w:rsid w:val="00B865A5"/>
    <w:rsid w:val="00BA7A60"/>
    <w:rsid w:val="00BC1A49"/>
    <w:rsid w:val="00BC648D"/>
    <w:rsid w:val="00BE373F"/>
    <w:rsid w:val="00C0490A"/>
    <w:rsid w:val="00C30A80"/>
    <w:rsid w:val="00C506AD"/>
    <w:rsid w:val="00C54770"/>
    <w:rsid w:val="00C67E60"/>
    <w:rsid w:val="00C844A1"/>
    <w:rsid w:val="00C858A7"/>
    <w:rsid w:val="00CA4174"/>
    <w:rsid w:val="00CB1310"/>
    <w:rsid w:val="00CE3973"/>
    <w:rsid w:val="00D023AC"/>
    <w:rsid w:val="00D13A9A"/>
    <w:rsid w:val="00D3653B"/>
    <w:rsid w:val="00D41585"/>
    <w:rsid w:val="00D442A5"/>
    <w:rsid w:val="00D62887"/>
    <w:rsid w:val="00D774EA"/>
    <w:rsid w:val="00DA2C20"/>
    <w:rsid w:val="00DA4765"/>
    <w:rsid w:val="00DE5D06"/>
    <w:rsid w:val="00DF174A"/>
    <w:rsid w:val="00DF77E7"/>
    <w:rsid w:val="00E0335B"/>
    <w:rsid w:val="00E42262"/>
    <w:rsid w:val="00E47ACF"/>
    <w:rsid w:val="00E90D29"/>
    <w:rsid w:val="00EA567F"/>
    <w:rsid w:val="00EC08E3"/>
    <w:rsid w:val="00EC69E1"/>
    <w:rsid w:val="00ED4306"/>
    <w:rsid w:val="00EE0393"/>
    <w:rsid w:val="00EF7115"/>
    <w:rsid w:val="00F0240C"/>
    <w:rsid w:val="00F132B5"/>
    <w:rsid w:val="00F254E6"/>
    <w:rsid w:val="00F54793"/>
    <w:rsid w:val="00F629C3"/>
    <w:rsid w:val="00F73600"/>
    <w:rsid w:val="00F83FAE"/>
    <w:rsid w:val="00FE0843"/>
    <w:rsid w:val="00F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  <w:style w:type="paragraph" w:styleId="ab">
    <w:name w:val="List Paragraph"/>
    <w:basedOn w:val="a"/>
    <w:uiPriority w:val="34"/>
    <w:qFormat/>
    <w:rsid w:val="00794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  <w:style w:type="paragraph" w:styleId="ab">
    <w:name w:val="List Paragraph"/>
    <w:basedOn w:val="a"/>
    <w:uiPriority w:val="34"/>
    <w:qFormat/>
    <w:rsid w:val="00794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44E9-8C0E-40E3-B693-C006C716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Янина Елена Владимировна</cp:lastModifiedBy>
  <cp:revision>3</cp:revision>
  <cp:lastPrinted>2016-06-10T11:55:00Z</cp:lastPrinted>
  <dcterms:created xsi:type="dcterms:W3CDTF">2016-06-16T11:04:00Z</dcterms:created>
  <dcterms:modified xsi:type="dcterms:W3CDTF">2016-06-28T14:41:00Z</dcterms:modified>
</cp:coreProperties>
</file>