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5E2377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</w:p>
    <w:p w:rsidR="00BC5842" w:rsidRDefault="00BC5842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C81D81" w:rsidRPr="00C81D8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изменения в Единый перечень продукции, в отношении которой устанавливаются обязательные требования в рамках Таможенного союза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  <w:r w:rsidR="00E81D26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 xml:space="preserve"> </w:t>
      </w:r>
    </w:p>
    <w:p w:rsidR="00E81D26" w:rsidRDefault="00E81D26" w:rsidP="00185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6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AF539C">
              <w:rPr>
                <w:sz w:val="25"/>
                <w:szCs w:val="25"/>
                <w:lang w:eastAsia="x-none"/>
              </w:rPr>
              <w:t>10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52D4B">
              <w:rPr>
                <w:sz w:val="25"/>
                <w:szCs w:val="25"/>
                <w:lang w:eastAsia="x-none"/>
              </w:rPr>
              <w:t>июня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9D4FD7">
              <w:rPr>
                <w:sz w:val="25"/>
                <w:szCs w:val="25"/>
                <w:lang w:eastAsia="x-none"/>
              </w:rPr>
              <w:t>2</w:t>
            </w:r>
            <w:r w:rsidR="00AF539C">
              <w:rPr>
                <w:sz w:val="25"/>
                <w:szCs w:val="25"/>
                <w:lang w:eastAsia="x-none"/>
              </w:rPr>
              <w:t>3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AF539C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AF539C">
              <w:rPr>
                <w:sz w:val="25"/>
                <w:szCs w:val="25"/>
                <w:lang w:eastAsia="x-none"/>
              </w:rPr>
              <w:t>10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C52D4B">
              <w:rPr>
                <w:sz w:val="25"/>
                <w:szCs w:val="25"/>
                <w:lang w:eastAsia="x-none"/>
              </w:rPr>
              <w:t>июля</w:t>
            </w:r>
            <w:r w:rsidR="00185612">
              <w:rPr>
                <w:sz w:val="25"/>
                <w:szCs w:val="25"/>
                <w:lang w:eastAsia="x-none"/>
              </w:rPr>
              <w:t xml:space="preserve">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9D4FD7">
              <w:rPr>
                <w:sz w:val="25"/>
                <w:szCs w:val="25"/>
                <w:lang w:eastAsia="x-none"/>
              </w:rPr>
              <w:t>2</w:t>
            </w:r>
            <w:r w:rsidR="00AF539C">
              <w:rPr>
                <w:sz w:val="25"/>
                <w:szCs w:val="25"/>
                <w:lang w:eastAsia="x-none"/>
              </w:rPr>
              <w:t>3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>ул. Летниковская, д. 2, стр. 1, стр. 2.</w:t>
            </w:r>
            <w:r>
              <w:rPr>
                <w:sz w:val="25"/>
                <w:szCs w:val="25"/>
              </w:rPr>
              <w:t>, на электронную почту</w:t>
            </w:r>
            <w:r w:rsidR="00FE3291">
              <w:rPr>
                <w:sz w:val="25"/>
                <w:szCs w:val="25"/>
              </w:rPr>
              <w:t>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</w:t>
            </w:r>
            <w:r w:rsidR="002C1C7D">
              <w:rPr>
                <w:sz w:val="26"/>
                <w:szCs w:val="26"/>
                <w:u w:val="single"/>
              </w:rPr>
              <w:t xml:space="preserve"> </w:t>
            </w:r>
            <w:r w:rsidR="00E75C74">
              <w:rPr>
                <w:sz w:val="26"/>
                <w:szCs w:val="26"/>
                <w:u w:val="single"/>
              </w:rPr>
              <w:t>669-24-00 (доб. 3</w:t>
            </w:r>
            <w:r w:rsidR="009F644C" w:rsidRPr="009F644C">
              <w:rPr>
                <w:sz w:val="26"/>
                <w:szCs w:val="26"/>
                <w:u w:val="single"/>
              </w:rPr>
              <w:t>1</w:t>
            </w:r>
            <w:r w:rsidR="002C1C7D">
              <w:rPr>
                <w:sz w:val="26"/>
                <w:szCs w:val="26"/>
                <w:u w:val="single"/>
              </w:rPr>
              <w:t xml:space="preserve"> - </w:t>
            </w:r>
            <w:r w:rsidR="00E75C74">
              <w:rPr>
                <w:sz w:val="26"/>
                <w:szCs w:val="26"/>
                <w:u w:val="single"/>
              </w:rPr>
              <w:t>2</w:t>
            </w:r>
            <w:r w:rsidR="00DF607B">
              <w:rPr>
                <w:sz w:val="26"/>
                <w:szCs w:val="26"/>
                <w:u w:val="single"/>
              </w:rPr>
              <w:t>4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7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.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7C731C" w:rsidRDefault="00FE3291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8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  <w:p w:rsidR="00E3174E" w:rsidRDefault="00E3174E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7C731C" w:rsidRDefault="007C731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en-US" w:eastAsia="x-none"/>
              </w:rPr>
            </w:pPr>
          </w:p>
          <w:p w:rsidR="00BC5842" w:rsidRDefault="009F644C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val="x-none" w:eastAsia="x-none"/>
              </w:rPr>
              <w:t>.</w:t>
            </w:r>
          </w:p>
          <w:p w:rsidR="00DF607B" w:rsidRDefault="00DF607B" w:rsidP="00185612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</w:p>
          <w:p w:rsidR="00DF607B" w:rsidRPr="00DF607B" w:rsidRDefault="00DF607B" w:rsidP="00185612">
            <w:pPr>
              <w:ind w:left="34"/>
              <w:jc w:val="both"/>
              <w:rPr>
                <w:b/>
                <w:sz w:val="25"/>
                <w:szCs w:val="25"/>
                <w:lang w:eastAsia="x-none"/>
              </w:rPr>
            </w:pPr>
          </w:p>
        </w:tc>
      </w:tr>
    </w:tbl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Вы считаете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D64615"/>
    <w:sectPr w:rsidR="00E30236" w:rsidSect="00734CD7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615" w:rsidRDefault="00D64615" w:rsidP="00802ED0">
      <w:pPr>
        <w:spacing w:after="0" w:line="240" w:lineRule="auto"/>
      </w:pPr>
      <w:r>
        <w:separator/>
      </w:r>
    </w:p>
  </w:endnote>
  <w:endnote w:type="continuationSeparator" w:id="0">
    <w:p w:rsidR="00D64615" w:rsidRDefault="00D64615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615" w:rsidRDefault="00D64615" w:rsidP="00802ED0">
      <w:pPr>
        <w:spacing w:after="0" w:line="240" w:lineRule="auto"/>
      </w:pPr>
      <w:r>
        <w:separator/>
      </w:r>
    </w:p>
  </w:footnote>
  <w:footnote w:type="continuationSeparator" w:id="0">
    <w:p w:rsidR="00D64615" w:rsidRDefault="00D64615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539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40F1"/>
    <w:rsid w:val="000556ED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4EB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1F74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6D36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099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69FC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C7D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0D2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6A8C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17F27"/>
    <w:rsid w:val="00620D38"/>
    <w:rsid w:val="00620FB0"/>
    <w:rsid w:val="00624A0A"/>
    <w:rsid w:val="00625591"/>
    <w:rsid w:val="00625CE8"/>
    <w:rsid w:val="00625FC5"/>
    <w:rsid w:val="0062673E"/>
    <w:rsid w:val="006268FC"/>
    <w:rsid w:val="0062751E"/>
    <w:rsid w:val="006314A9"/>
    <w:rsid w:val="00631C43"/>
    <w:rsid w:val="006332C7"/>
    <w:rsid w:val="00640DC6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5F7"/>
    <w:rsid w:val="00672F7F"/>
    <w:rsid w:val="0067606E"/>
    <w:rsid w:val="00676938"/>
    <w:rsid w:val="006769F5"/>
    <w:rsid w:val="00676A31"/>
    <w:rsid w:val="00681704"/>
    <w:rsid w:val="006830B8"/>
    <w:rsid w:val="00687EB1"/>
    <w:rsid w:val="006928A3"/>
    <w:rsid w:val="00692B61"/>
    <w:rsid w:val="00694147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731C"/>
    <w:rsid w:val="007D1B42"/>
    <w:rsid w:val="007D724D"/>
    <w:rsid w:val="007D7A10"/>
    <w:rsid w:val="007E092D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453D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0DB8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01B6"/>
    <w:rsid w:val="009D1FE2"/>
    <w:rsid w:val="009D241E"/>
    <w:rsid w:val="009D2F2F"/>
    <w:rsid w:val="009D3197"/>
    <w:rsid w:val="009D35B1"/>
    <w:rsid w:val="009D4FD7"/>
    <w:rsid w:val="009D690C"/>
    <w:rsid w:val="009D71F4"/>
    <w:rsid w:val="009D7D9C"/>
    <w:rsid w:val="009E0105"/>
    <w:rsid w:val="009E0364"/>
    <w:rsid w:val="009E449C"/>
    <w:rsid w:val="009E6933"/>
    <w:rsid w:val="009F09A5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883"/>
    <w:rsid w:val="00AD2CE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9C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28A2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2D4B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1D81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48CB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615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0C91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8D5"/>
    <w:rsid w:val="00E56A89"/>
    <w:rsid w:val="00E56F18"/>
    <w:rsid w:val="00E57410"/>
    <w:rsid w:val="00E65A49"/>
    <w:rsid w:val="00E65CF1"/>
    <w:rsid w:val="00E65DD1"/>
    <w:rsid w:val="00E7308A"/>
    <w:rsid w:val="00E75C74"/>
    <w:rsid w:val="00E766F0"/>
    <w:rsid w:val="00E76A80"/>
    <w:rsid w:val="00E76CD4"/>
    <w:rsid w:val="00E76E27"/>
    <w:rsid w:val="00E76F62"/>
    <w:rsid w:val="00E81236"/>
    <w:rsid w:val="00E81D26"/>
    <w:rsid w:val="00E82241"/>
    <w:rsid w:val="00E86A10"/>
    <w:rsid w:val="00E87ACE"/>
    <w:rsid w:val="00E92C7D"/>
    <w:rsid w:val="00E93817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t_techregulation@eecommiss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aeunion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Малгаждаров Аман Бекмуратович</cp:lastModifiedBy>
  <cp:revision>11</cp:revision>
  <cp:lastPrinted>2023-06-08T12:02:00Z</cp:lastPrinted>
  <dcterms:created xsi:type="dcterms:W3CDTF">2022-03-11T07:55:00Z</dcterms:created>
  <dcterms:modified xsi:type="dcterms:W3CDTF">2023-06-08T12:02:00Z</dcterms:modified>
</cp:coreProperties>
</file>