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66" w:rsidRPr="00EC67E7" w:rsidRDefault="00517566" w:rsidP="00025824">
      <w:pPr>
        <w:spacing w:after="0" w:line="360" w:lineRule="auto"/>
        <w:ind w:left="4111" w:right="-284"/>
        <w:jc w:val="center"/>
        <w:rPr>
          <w:rFonts w:ascii="Times New Roman" w:hAnsi="Times New Roman" w:cs="Times New Roman"/>
          <w:sz w:val="30"/>
          <w:szCs w:val="30"/>
        </w:rPr>
      </w:pPr>
      <w:r w:rsidRPr="00EC67E7">
        <w:rPr>
          <w:rFonts w:ascii="Times New Roman" w:hAnsi="Times New Roman" w:cs="Times New Roman"/>
          <w:sz w:val="30"/>
          <w:szCs w:val="30"/>
        </w:rPr>
        <w:t>ПРИЛОЖЕНИЕ</w:t>
      </w:r>
    </w:p>
    <w:p w:rsidR="00517566" w:rsidRPr="00EC67E7" w:rsidRDefault="00517566" w:rsidP="00EC67E7">
      <w:pPr>
        <w:spacing w:after="0" w:line="240" w:lineRule="auto"/>
        <w:ind w:left="4111" w:right="-286"/>
        <w:jc w:val="center"/>
        <w:rPr>
          <w:rFonts w:ascii="Times New Roman" w:hAnsi="Times New Roman" w:cs="Times New Roman"/>
          <w:sz w:val="30"/>
          <w:szCs w:val="30"/>
        </w:rPr>
      </w:pPr>
      <w:r w:rsidRPr="00EC67E7">
        <w:rPr>
          <w:rFonts w:ascii="Times New Roman" w:hAnsi="Times New Roman" w:cs="Times New Roman"/>
          <w:sz w:val="30"/>
          <w:szCs w:val="30"/>
        </w:rPr>
        <w:t>к  Решению Совета</w:t>
      </w:r>
    </w:p>
    <w:p w:rsidR="00517566" w:rsidRPr="00EC67E7" w:rsidRDefault="00517566" w:rsidP="00EC67E7">
      <w:pPr>
        <w:spacing w:after="0" w:line="240" w:lineRule="auto"/>
        <w:ind w:left="4111" w:right="-286"/>
        <w:jc w:val="center"/>
        <w:rPr>
          <w:rFonts w:ascii="Times New Roman" w:hAnsi="Times New Roman" w:cs="Times New Roman"/>
          <w:sz w:val="30"/>
          <w:szCs w:val="30"/>
        </w:rPr>
      </w:pPr>
      <w:r w:rsidRPr="00EC67E7">
        <w:rPr>
          <w:rFonts w:ascii="Times New Roman" w:hAnsi="Times New Roman" w:cs="Times New Roman"/>
          <w:sz w:val="30"/>
          <w:szCs w:val="30"/>
        </w:rPr>
        <w:t>Евразийской экономической комиссии</w:t>
      </w:r>
    </w:p>
    <w:p w:rsidR="00517566" w:rsidRPr="00EC67E7" w:rsidRDefault="00517566" w:rsidP="00EC67E7">
      <w:pPr>
        <w:spacing w:after="0" w:line="240" w:lineRule="auto"/>
        <w:ind w:left="4111" w:right="-286"/>
        <w:jc w:val="both"/>
        <w:rPr>
          <w:rFonts w:ascii="Times New Roman" w:hAnsi="Times New Roman" w:cs="Times New Roman"/>
          <w:sz w:val="30"/>
          <w:szCs w:val="30"/>
        </w:rPr>
      </w:pPr>
      <w:r w:rsidRPr="00EC67E7">
        <w:rPr>
          <w:rFonts w:ascii="Times New Roman" w:hAnsi="Times New Roman" w:cs="Times New Roman"/>
          <w:sz w:val="30"/>
          <w:szCs w:val="30"/>
        </w:rPr>
        <w:t xml:space="preserve">        от                     20</w:t>
      </w:r>
      <w:r w:rsidR="001B61F4" w:rsidRPr="00EC67E7">
        <w:rPr>
          <w:rFonts w:ascii="Times New Roman" w:hAnsi="Times New Roman" w:cs="Times New Roman"/>
          <w:sz w:val="30"/>
          <w:szCs w:val="30"/>
        </w:rPr>
        <w:t>2</w:t>
      </w:r>
      <w:r w:rsidR="00CD075C">
        <w:rPr>
          <w:rFonts w:ascii="Times New Roman" w:hAnsi="Times New Roman" w:cs="Times New Roman"/>
          <w:sz w:val="30"/>
          <w:szCs w:val="30"/>
        </w:rPr>
        <w:t>1</w:t>
      </w:r>
      <w:r w:rsidRPr="00EC67E7">
        <w:rPr>
          <w:rFonts w:ascii="Times New Roman" w:hAnsi="Times New Roman" w:cs="Times New Roman"/>
          <w:sz w:val="30"/>
          <w:szCs w:val="30"/>
        </w:rPr>
        <w:t xml:space="preserve"> г.</w:t>
      </w:r>
      <w:r w:rsidR="00D92CAC" w:rsidRPr="00EC67E7">
        <w:rPr>
          <w:rFonts w:ascii="Times New Roman" w:hAnsi="Times New Roman" w:cs="Times New Roman"/>
          <w:sz w:val="30"/>
          <w:szCs w:val="30"/>
        </w:rPr>
        <w:t xml:space="preserve">      </w:t>
      </w:r>
      <w:r w:rsidRPr="00EC67E7">
        <w:rPr>
          <w:rFonts w:ascii="Times New Roman" w:hAnsi="Times New Roman" w:cs="Times New Roman"/>
          <w:sz w:val="30"/>
          <w:szCs w:val="30"/>
        </w:rPr>
        <w:t xml:space="preserve"> №</w:t>
      </w:r>
    </w:p>
    <w:p w:rsidR="00517566" w:rsidRPr="00EC67E7" w:rsidRDefault="00517566" w:rsidP="00EC67E7">
      <w:pPr>
        <w:spacing w:after="0" w:line="240" w:lineRule="auto"/>
        <w:ind w:left="4111" w:right="-286"/>
        <w:jc w:val="center"/>
        <w:rPr>
          <w:rFonts w:ascii="Times New Roman" w:hAnsi="Times New Roman" w:cs="Times New Roman"/>
          <w:sz w:val="30"/>
          <w:szCs w:val="30"/>
        </w:rPr>
      </w:pPr>
    </w:p>
    <w:p w:rsidR="00517566" w:rsidRDefault="00517566" w:rsidP="00FB6E59">
      <w:pPr>
        <w:spacing w:after="0" w:line="240" w:lineRule="auto"/>
        <w:ind w:left="-567" w:right="-286"/>
        <w:rPr>
          <w:rFonts w:ascii="Times New Roman" w:hAnsi="Times New Roman" w:cs="Times New Roman"/>
          <w:sz w:val="30"/>
          <w:szCs w:val="30"/>
        </w:rPr>
      </w:pPr>
    </w:p>
    <w:p w:rsidR="00AC3AF2" w:rsidRPr="00EC67E7" w:rsidRDefault="00AC3AF2" w:rsidP="00FB6E59">
      <w:pPr>
        <w:spacing w:after="0" w:line="240" w:lineRule="auto"/>
        <w:ind w:left="-567" w:right="-286"/>
        <w:rPr>
          <w:rFonts w:ascii="Times New Roman" w:hAnsi="Times New Roman" w:cs="Times New Roman"/>
          <w:sz w:val="30"/>
          <w:szCs w:val="30"/>
        </w:rPr>
      </w:pPr>
    </w:p>
    <w:p w:rsidR="00517566" w:rsidRPr="00EC67E7" w:rsidRDefault="00517566" w:rsidP="00F401A7">
      <w:pPr>
        <w:spacing w:after="0" w:line="240" w:lineRule="auto"/>
        <w:ind w:left="-567" w:right="-286"/>
        <w:jc w:val="center"/>
        <w:rPr>
          <w:rFonts w:ascii="Times New Roman" w:hAnsi="Times New Roman" w:cs="Times New Roman"/>
          <w:b/>
          <w:sz w:val="30"/>
          <w:szCs w:val="30"/>
        </w:rPr>
      </w:pPr>
      <w:r w:rsidRPr="00EC67E7">
        <w:rPr>
          <w:rFonts w:ascii="Times New Roman" w:hAnsi="Times New Roman" w:cs="Times New Roman"/>
          <w:b/>
          <w:spacing w:val="40"/>
          <w:sz w:val="30"/>
          <w:szCs w:val="30"/>
        </w:rPr>
        <w:t>ИЗМЕНЕНИ</w:t>
      </w:r>
      <w:r w:rsidRPr="00025824">
        <w:rPr>
          <w:rFonts w:ascii="Times New Roman" w:hAnsi="Times New Roman" w:cs="Times New Roman"/>
          <w:b/>
          <w:sz w:val="30"/>
          <w:szCs w:val="30"/>
        </w:rPr>
        <w:t>Я</w:t>
      </w:r>
      <w:r w:rsidRPr="00413037">
        <w:rPr>
          <w:rFonts w:ascii="Times New Roman" w:hAnsi="Times New Roman" w:cs="Times New Roman"/>
          <w:b/>
          <w:sz w:val="30"/>
          <w:szCs w:val="30"/>
        </w:rPr>
        <w:t>,</w:t>
      </w:r>
    </w:p>
    <w:p w:rsidR="00517566" w:rsidRPr="00EC67E7" w:rsidRDefault="00517566" w:rsidP="00F401A7">
      <w:pPr>
        <w:spacing w:after="0" w:line="240" w:lineRule="auto"/>
        <w:ind w:right="-286"/>
        <w:jc w:val="center"/>
        <w:rPr>
          <w:rFonts w:ascii="Times New Roman" w:hAnsi="Times New Roman" w:cs="Times New Roman"/>
          <w:b/>
          <w:sz w:val="30"/>
          <w:szCs w:val="30"/>
        </w:rPr>
      </w:pPr>
      <w:r w:rsidRPr="00EC67E7">
        <w:rPr>
          <w:rFonts w:ascii="Times New Roman" w:hAnsi="Times New Roman" w:cs="Times New Roman"/>
          <w:b/>
          <w:sz w:val="30"/>
          <w:szCs w:val="30"/>
        </w:rPr>
        <w:t xml:space="preserve">вносимые в </w:t>
      </w:r>
      <w:r w:rsidR="00A37C31">
        <w:rPr>
          <w:rFonts w:ascii="Times New Roman" w:hAnsi="Times New Roman" w:cs="Times New Roman"/>
          <w:b/>
          <w:sz w:val="30"/>
          <w:szCs w:val="30"/>
        </w:rPr>
        <w:t>Порядок рассмотрения дел о нарушении общих правил конкуренции на трансграничных рынках</w:t>
      </w:r>
    </w:p>
    <w:p w:rsidR="00E73C97" w:rsidRDefault="00E73C97" w:rsidP="00F401A7">
      <w:pPr>
        <w:pStyle w:val="ConsPlusNormal"/>
        <w:widowControl/>
        <w:spacing w:line="276" w:lineRule="auto"/>
        <w:ind w:right="-286" w:firstLine="540"/>
        <w:jc w:val="both"/>
        <w:rPr>
          <w:rFonts w:ascii="Times New Roman" w:hAnsi="Times New Roman" w:cs="Times New Roman"/>
          <w:sz w:val="30"/>
          <w:szCs w:val="30"/>
        </w:rPr>
      </w:pPr>
    </w:p>
    <w:p w:rsidR="00AC3AF2" w:rsidRPr="00EC67E7" w:rsidRDefault="00AC3AF2" w:rsidP="00F401A7">
      <w:pPr>
        <w:pStyle w:val="ConsPlusNormal"/>
        <w:widowControl/>
        <w:spacing w:line="276" w:lineRule="auto"/>
        <w:ind w:right="-286" w:firstLine="540"/>
        <w:jc w:val="both"/>
        <w:rPr>
          <w:rFonts w:ascii="Times New Roman" w:hAnsi="Times New Roman" w:cs="Times New Roman"/>
          <w:sz w:val="30"/>
          <w:szCs w:val="30"/>
        </w:rPr>
      </w:pPr>
    </w:p>
    <w:p w:rsidR="00A37C31" w:rsidRDefault="00D92CAC" w:rsidP="00F748DD">
      <w:pPr>
        <w:pStyle w:val="ConsPlusNormal"/>
        <w:widowControl/>
        <w:spacing w:line="360" w:lineRule="auto"/>
        <w:ind w:right="-284" w:firstLine="709"/>
        <w:jc w:val="both"/>
        <w:rPr>
          <w:rFonts w:ascii="Times New Roman" w:hAnsi="Times New Roman" w:cs="Times New Roman"/>
          <w:sz w:val="30"/>
          <w:szCs w:val="30"/>
        </w:rPr>
      </w:pPr>
      <w:bookmarkStart w:id="0" w:name="P33"/>
      <w:bookmarkEnd w:id="0"/>
      <w:r w:rsidRPr="00EC67E7">
        <w:rPr>
          <w:rFonts w:ascii="Times New Roman" w:hAnsi="Times New Roman" w:cs="Times New Roman"/>
          <w:sz w:val="30"/>
          <w:szCs w:val="30"/>
        </w:rPr>
        <w:t>1. </w:t>
      </w:r>
      <w:r w:rsidR="0028793B">
        <w:rPr>
          <w:rFonts w:ascii="Times New Roman" w:hAnsi="Times New Roman" w:cs="Times New Roman"/>
          <w:sz w:val="30"/>
          <w:szCs w:val="30"/>
        </w:rPr>
        <w:t>П</w:t>
      </w:r>
      <w:r w:rsidR="004B085D" w:rsidRPr="00EC67E7">
        <w:rPr>
          <w:rFonts w:ascii="Times New Roman" w:hAnsi="Times New Roman" w:cs="Times New Roman"/>
          <w:sz w:val="30"/>
          <w:szCs w:val="30"/>
        </w:rPr>
        <w:t xml:space="preserve">ункт </w:t>
      </w:r>
      <w:r w:rsidR="00A37C31">
        <w:rPr>
          <w:rFonts w:ascii="Times New Roman" w:hAnsi="Times New Roman" w:cs="Times New Roman"/>
          <w:sz w:val="30"/>
          <w:szCs w:val="30"/>
        </w:rPr>
        <w:t xml:space="preserve">22 </w:t>
      </w:r>
      <w:r w:rsidR="00CD075C" w:rsidRPr="00EC67E7">
        <w:rPr>
          <w:rFonts w:ascii="Times New Roman" w:hAnsi="Times New Roman" w:cs="Times New Roman"/>
          <w:sz w:val="30"/>
          <w:szCs w:val="30"/>
        </w:rPr>
        <w:t>после слов «</w:t>
      </w:r>
      <w:r w:rsidR="00CD075C">
        <w:rPr>
          <w:rFonts w:ascii="Times New Roman" w:hAnsi="Times New Roman" w:cs="Times New Roman"/>
          <w:sz w:val="30"/>
          <w:szCs w:val="30"/>
        </w:rPr>
        <w:t>утвержденными решением Совета Евразийской экономической комиссии от 17 декабря 2012 г. № 118</w:t>
      </w:r>
      <w:r w:rsidR="00CD075C" w:rsidRPr="00EC67E7">
        <w:rPr>
          <w:rFonts w:ascii="Times New Roman" w:hAnsi="Times New Roman" w:cs="Times New Roman"/>
          <w:sz w:val="30"/>
          <w:szCs w:val="30"/>
        </w:rPr>
        <w:t>» дополнить слов</w:t>
      </w:r>
      <w:r w:rsidR="00CD075C">
        <w:rPr>
          <w:rFonts w:ascii="Times New Roman" w:hAnsi="Times New Roman" w:cs="Times New Roman"/>
          <w:sz w:val="30"/>
          <w:szCs w:val="30"/>
        </w:rPr>
        <w:t>ами</w:t>
      </w:r>
      <w:r w:rsidR="00CD075C" w:rsidRPr="00EC67E7">
        <w:rPr>
          <w:rFonts w:ascii="Times New Roman" w:hAnsi="Times New Roman" w:cs="Times New Roman"/>
          <w:sz w:val="30"/>
          <w:szCs w:val="30"/>
        </w:rPr>
        <w:t xml:space="preserve"> «</w:t>
      </w:r>
      <w:r w:rsidR="00CD075C">
        <w:rPr>
          <w:rFonts w:ascii="Times New Roman" w:hAnsi="Times New Roman" w:cs="Times New Roman"/>
          <w:sz w:val="30"/>
          <w:szCs w:val="30"/>
        </w:rPr>
        <w:t>(далее – Методика)</w:t>
      </w:r>
      <w:r w:rsidR="00CD075C" w:rsidRPr="00EC67E7">
        <w:rPr>
          <w:rFonts w:ascii="Times New Roman" w:hAnsi="Times New Roman" w:cs="Times New Roman"/>
          <w:sz w:val="30"/>
          <w:szCs w:val="30"/>
        </w:rPr>
        <w:t>».</w:t>
      </w:r>
    </w:p>
    <w:p w:rsidR="00A37C31" w:rsidRDefault="00A37C31" w:rsidP="00F748DD">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2. </w:t>
      </w:r>
      <w:r w:rsidR="006E63B0">
        <w:rPr>
          <w:rFonts w:ascii="Times New Roman" w:hAnsi="Times New Roman" w:cs="Times New Roman"/>
          <w:sz w:val="30"/>
          <w:szCs w:val="30"/>
        </w:rPr>
        <w:t>Пункт</w:t>
      </w:r>
      <w:r w:rsidR="0028793B">
        <w:rPr>
          <w:rFonts w:ascii="Times New Roman" w:hAnsi="Times New Roman" w:cs="Times New Roman"/>
          <w:sz w:val="30"/>
          <w:szCs w:val="30"/>
        </w:rPr>
        <w:t xml:space="preserve"> 45</w:t>
      </w:r>
      <w:r w:rsidR="006E63B0">
        <w:rPr>
          <w:rFonts w:ascii="Times New Roman" w:hAnsi="Times New Roman" w:cs="Times New Roman"/>
          <w:sz w:val="30"/>
          <w:szCs w:val="30"/>
        </w:rPr>
        <w:t xml:space="preserve"> </w:t>
      </w:r>
      <w:r>
        <w:rPr>
          <w:rFonts w:ascii="Times New Roman" w:hAnsi="Times New Roman" w:cs="Times New Roman"/>
          <w:sz w:val="30"/>
          <w:szCs w:val="30"/>
        </w:rPr>
        <w:t>изложить в следующей редакции</w:t>
      </w:r>
      <w:r w:rsidRPr="00EC67E7">
        <w:rPr>
          <w:rFonts w:ascii="Times New Roman" w:hAnsi="Times New Roman" w:cs="Times New Roman"/>
          <w:sz w:val="30"/>
          <w:szCs w:val="30"/>
        </w:rPr>
        <w:t>:</w:t>
      </w:r>
    </w:p>
    <w:p w:rsidR="00E34E07" w:rsidRDefault="00A37C31" w:rsidP="00F748DD">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«45. </w:t>
      </w:r>
      <w:r w:rsidR="00E34E07">
        <w:rPr>
          <w:rFonts w:ascii="Times New Roman" w:hAnsi="Times New Roman" w:cs="Times New Roman"/>
          <w:sz w:val="30"/>
          <w:szCs w:val="30"/>
        </w:rPr>
        <w:t>Решение по делу состоит из вводной, описательной, мотивировочной и резолютивной частей.</w:t>
      </w:r>
    </w:p>
    <w:p w:rsidR="00A37C31" w:rsidRDefault="00A37C31" w:rsidP="00F748DD">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Вводная часть решения по делу содержит:</w:t>
      </w:r>
    </w:p>
    <w:p w:rsidR="00A37C31" w:rsidRDefault="00A37C31" w:rsidP="00F748DD">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 дату и место принятия решения по делу;</w:t>
      </w:r>
    </w:p>
    <w:p w:rsidR="00A37C31" w:rsidRDefault="00A37C31" w:rsidP="00F748DD">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 состав комиссии по рассмотрению дела;</w:t>
      </w:r>
    </w:p>
    <w:p w:rsidR="00A37C31" w:rsidRDefault="00A37C31" w:rsidP="00F748DD">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 наименования лиц, участвовавших в рассмотрении дела;</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 сведения о заявителе и ответчике:</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proofErr w:type="gramStart"/>
      <w:r w:rsidRPr="00A37C31">
        <w:rPr>
          <w:rFonts w:ascii="Times New Roman" w:hAnsi="Times New Roman" w:cs="Times New Roman"/>
          <w:sz w:val="30"/>
          <w:szCs w:val="30"/>
        </w:rPr>
        <w:t>физическое лицо – фамилия, имя, отчество (если таковое имеется); его место жительства (место пребывания); дата и место его рождения (при наличии сведений о месте рождения); данные документа, удостоверяющего его личность (идентификационный номер, серия (при их наличии), номер, дата выдачи, наименование органа, выдавшего документ); место работы (если оно известно) (для должностного лица, в том числе, – должность и адрес хозяйствующего субъекта);</w:t>
      </w:r>
      <w:proofErr w:type="gramEnd"/>
    </w:p>
    <w:p w:rsidR="00A37C31" w:rsidRPr="00A37C31" w:rsidRDefault="00A37C31" w:rsidP="00A37C31">
      <w:pPr>
        <w:pStyle w:val="ConsPlusNormal"/>
        <w:widowControl/>
        <w:spacing w:line="360" w:lineRule="auto"/>
        <w:ind w:right="-284" w:firstLine="709"/>
        <w:jc w:val="both"/>
        <w:rPr>
          <w:rFonts w:ascii="Times New Roman" w:hAnsi="Times New Roman" w:cs="Times New Roman"/>
          <w:sz w:val="30"/>
          <w:szCs w:val="30"/>
        </w:rPr>
      </w:pPr>
      <w:proofErr w:type="gramStart"/>
      <w:r w:rsidRPr="00A37C31">
        <w:rPr>
          <w:rFonts w:ascii="Times New Roman" w:hAnsi="Times New Roman" w:cs="Times New Roman"/>
          <w:sz w:val="30"/>
          <w:szCs w:val="30"/>
        </w:rPr>
        <w:lastRenderedPageBreak/>
        <w:t>индивидуальный предприниматель – фамилия, имя, отчество (если таковое имеется); его место жительства (место пребывания), дата и место его рождения (при наличии сведений о месте рождения); данные документа, удостоверяющего его личность (идентификационный номер, серия (при их наличии), номер, дата выдачи, наименование органа, выдавшего документ);</w:t>
      </w:r>
      <w:proofErr w:type="gramEnd"/>
      <w:r w:rsidRPr="00A37C31">
        <w:rPr>
          <w:rFonts w:ascii="Times New Roman" w:hAnsi="Times New Roman" w:cs="Times New Roman"/>
          <w:sz w:val="30"/>
          <w:szCs w:val="30"/>
        </w:rPr>
        <w:t xml:space="preserve"> место работы (если оно известно), а также регистрационный номер и дата государственной регистрации, учетный (идентификационный) номер плательщика, (</w:t>
      </w:r>
      <w:proofErr w:type="gramStart"/>
      <w:r w:rsidRPr="00A37C31">
        <w:rPr>
          <w:rFonts w:ascii="Times New Roman" w:hAnsi="Times New Roman" w:cs="Times New Roman"/>
          <w:sz w:val="30"/>
          <w:szCs w:val="30"/>
        </w:rPr>
        <w:t>и</w:t>
      </w:r>
      <w:hyperlink r:id="rId9" w:tgtFrame="_blank" w:history="1">
        <w:r w:rsidRPr="00A37C31">
          <w:rPr>
            <w:rFonts w:ascii="Times New Roman" w:hAnsi="Times New Roman" w:cs="Times New Roman"/>
            <w:sz w:val="30"/>
            <w:szCs w:val="30"/>
          </w:rPr>
          <w:t>дентификационный</w:t>
        </w:r>
        <w:proofErr w:type="gramEnd"/>
        <w:r w:rsidRPr="00A37C31">
          <w:rPr>
            <w:rFonts w:ascii="Times New Roman" w:hAnsi="Times New Roman" w:cs="Times New Roman"/>
            <w:sz w:val="30"/>
            <w:szCs w:val="30"/>
          </w:rPr>
          <w:t xml:space="preserve"> номер налогоплательщика</w:t>
        </w:r>
      </w:hyperlink>
      <w:r w:rsidRPr="00A37C31">
        <w:rPr>
          <w:rFonts w:ascii="Times New Roman" w:hAnsi="Times New Roman" w:cs="Times New Roman"/>
          <w:sz w:val="30"/>
          <w:szCs w:val="30"/>
        </w:rPr>
        <w:t>);</w:t>
      </w:r>
    </w:p>
    <w:p w:rsidR="00A37C31" w:rsidRDefault="00A37C31" w:rsidP="00A37C31">
      <w:pPr>
        <w:pStyle w:val="ConsPlusNormal"/>
        <w:widowControl/>
        <w:spacing w:line="360" w:lineRule="auto"/>
        <w:ind w:right="-284" w:firstLine="709"/>
        <w:jc w:val="both"/>
        <w:rPr>
          <w:rFonts w:ascii="Times New Roman" w:hAnsi="Times New Roman" w:cs="Times New Roman"/>
          <w:sz w:val="28"/>
          <w:szCs w:val="28"/>
        </w:rPr>
      </w:pPr>
      <w:r w:rsidRPr="00A37C31">
        <w:rPr>
          <w:rFonts w:ascii="Times New Roman" w:hAnsi="Times New Roman" w:cs="Times New Roman"/>
          <w:sz w:val="30"/>
          <w:szCs w:val="30"/>
        </w:rPr>
        <w:t>юридическое лицо – его наименование и место нахождения; регистрационный номер и дата государственной регистрации; учетный (идентификационный) номер плательщика (</w:t>
      </w:r>
      <w:proofErr w:type="gramStart"/>
      <w:r w:rsidRPr="00A37C31">
        <w:rPr>
          <w:rFonts w:ascii="Times New Roman" w:hAnsi="Times New Roman" w:cs="Times New Roman"/>
          <w:sz w:val="30"/>
          <w:szCs w:val="30"/>
        </w:rPr>
        <w:t>и</w:t>
      </w:r>
      <w:hyperlink r:id="rId10" w:tgtFrame="_blank" w:history="1">
        <w:r w:rsidRPr="00A37C31">
          <w:rPr>
            <w:rFonts w:ascii="Times New Roman" w:hAnsi="Times New Roman" w:cs="Times New Roman"/>
            <w:sz w:val="30"/>
            <w:szCs w:val="30"/>
          </w:rPr>
          <w:t>дентификационный</w:t>
        </w:r>
        <w:proofErr w:type="gramEnd"/>
        <w:r w:rsidRPr="00A37C31">
          <w:rPr>
            <w:rFonts w:ascii="Times New Roman" w:hAnsi="Times New Roman" w:cs="Times New Roman"/>
            <w:sz w:val="30"/>
            <w:szCs w:val="30"/>
          </w:rPr>
          <w:t xml:space="preserve"> номер налогоплательщика</w:t>
        </w:r>
      </w:hyperlink>
      <w:r w:rsidRPr="00A37C31">
        <w:rPr>
          <w:rFonts w:ascii="Times New Roman" w:hAnsi="Times New Roman" w:cs="Times New Roman"/>
          <w:sz w:val="28"/>
          <w:szCs w:val="28"/>
        </w:rPr>
        <w:t>).</w:t>
      </w:r>
    </w:p>
    <w:p w:rsidR="00A37C31" w:rsidRDefault="00A37C31" w:rsidP="00A37C31">
      <w:pPr>
        <w:pStyle w:val="ConsPlusNormal"/>
        <w:widowControl/>
        <w:spacing w:line="360" w:lineRule="auto"/>
        <w:ind w:right="-284" w:firstLine="709"/>
        <w:jc w:val="both"/>
        <w:rPr>
          <w:rFonts w:ascii="Times New Roman" w:hAnsi="Times New Roman" w:cs="Times New Roman"/>
          <w:sz w:val="28"/>
          <w:szCs w:val="28"/>
        </w:rPr>
      </w:pPr>
      <w:r w:rsidRPr="00A37C31">
        <w:rPr>
          <w:rFonts w:ascii="Times New Roman" w:hAnsi="Times New Roman" w:cs="Times New Roman"/>
          <w:sz w:val="30"/>
          <w:szCs w:val="30"/>
        </w:rPr>
        <w:t>Описательная часть решения по делу содержит указание на сообщение заявителя о возможном нарушении общих правил конкуренции на трансграничных рынках либо факт выявления Комиссией нарушения общих правил конкуренции на трансграничных рынках, доводы ответчика и пояснения других лиц, участвовавших в рассмотрении дела.</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A37C31">
        <w:rPr>
          <w:rFonts w:ascii="Times New Roman" w:hAnsi="Times New Roman" w:cs="Times New Roman"/>
          <w:sz w:val="30"/>
          <w:szCs w:val="30"/>
        </w:rPr>
        <w:t>В мотивировочной части решения по делу указываются обстоятельства дела, установленные при проведении расследования, доказательства, на которых основаны выводы комиссии по рассмотрению дела, нормативные правовые акты, которыми руководствовалась комиссия по рассмотрению дела. Факт признания ответчиком совершения нарушения общих правил конкуренции на трансграничных рынках отражается в мотивировочной части решения.</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proofErr w:type="gramStart"/>
      <w:r w:rsidRPr="00A37C31">
        <w:rPr>
          <w:rFonts w:ascii="Times New Roman" w:hAnsi="Times New Roman" w:cs="Times New Roman"/>
          <w:sz w:val="30"/>
          <w:szCs w:val="30"/>
        </w:rPr>
        <w:t xml:space="preserve">В резолютивной части решения по делу содержатся сведения об ответчике, указанные в абзацах 7-9 </w:t>
      </w:r>
      <w:r w:rsidR="00E622C2">
        <w:rPr>
          <w:rFonts w:ascii="Times New Roman" w:hAnsi="Times New Roman" w:cs="Times New Roman"/>
          <w:sz w:val="30"/>
          <w:szCs w:val="30"/>
        </w:rPr>
        <w:t xml:space="preserve">настоящего </w:t>
      </w:r>
      <w:r w:rsidR="00E34E07">
        <w:rPr>
          <w:rFonts w:ascii="Times New Roman" w:hAnsi="Times New Roman" w:cs="Times New Roman"/>
          <w:sz w:val="30"/>
          <w:szCs w:val="30"/>
        </w:rPr>
        <w:t>пункта</w:t>
      </w:r>
      <w:r w:rsidRPr="00A37C31">
        <w:rPr>
          <w:rFonts w:ascii="Times New Roman" w:hAnsi="Times New Roman" w:cs="Times New Roman"/>
          <w:sz w:val="30"/>
          <w:szCs w:val="30"/>
        </w:rPr>
        <w:t xml:space="preserve">, выводы о </w:t>
      </w:r>
      <w:r w:rsidRPr="00A37C31">
        <w:rPr>
          <w:rFonts w:ascii="Times New Roman" w:hAnsi="Times New Roman" w:cs="Times New Roman"/>
          <w:sz w:val="30"/>
          <w:szCs w:val="30"/>
        </w:rPr>
        <w:lastRenderedPageBreak/>
        <w:t xml:space="preserve">наличии или об отсутствии оснований для прекращения рассмотрения дела, выводы о наличии или об отсутствии нарушения общих правил конкуренции на трансграничных рынках в действиях (бездействии) ответчика по делу, размер штрафа, предусмотренного </w:t>
      </w:r>
      <w:hyperlink r:id="rId11" w:history="1">
        <w:r w:rsidRPr="00A37C31">
          <w:rPr>
            <w:rFonts w:ascii="Times New Roman" w:hAnsi="Times New Roman" w:cs="Times New Roman"/>
            <w:sz w:val="30"/>
            <w:szCs w:val="30"/>
          </w:rPr>
          <w:t>пунктом 16</w:t>
        </w:r>
      </w:hyperlink>
      <w:r w:rsidRPr="00A37C31">
        <w:rPr>
          <w:rFonts w:ascii="Times New Roman" w:hAnsi="Times New Roman" w:cs="Times New Roman"/>
          <w:sz w:val="30"/>
          <w:szCs w:val="30"/>
        </w:rPr>
        <w:t xml:space="preserve"> Протокола и рассчитанного в соответствии с </w:t>
      </w:r>
      <w:hyperlink r:id="rId12" w:history="1">
        <w:r w:rsidRPr="00A37C31">
          <w:rPr>
            <w:rFonts w:ascii="Times New Roman" w:hAnsi="Times New Roman" w:cs="Times New Roman"/>
            <w:sz w:val="30"/>
            <w:szCs w:val="30"/>
          </w:rPr>
          <w:t>Методикой</w:t>
        </w:r>
      </w:hyperlink>
      <w:r w:rsidRPr="00A37C31">
        <w:rPr>
          <w:rFonts w:ascii="Times New Roman" w:hAnsi="Times New Roman" w:cs="Times New Roman"/>
          <w:sz w:val="30"/>
          <w:szCs w:val="30"/>
        </w:rPr>
        <w:t>, меры по</w:t>
      </w:r>
      <w:proofErr w:type="gramEnd"/>
      <w:r w:rsidRPr="00A37C31">
        <w:rPr>
          <w:rFonts w:ascii="Times New Roman" w:hAnsi="Times New Roman" w:cs="Times New Roman"/>
          <w:sz w:val="30"/>
          <w:szCs w:val="30"/>
        </w:rPr>
        <w:t xml:space="preserve"> пресечению и (или) устранению последствий нарушения общих правил конкуренции на трансграничных рынках, обеспечению конкуренции с указанием сроков их реализации, банковские реквизиты, по которым следует перечислять штраф</w:t>
      </w:r>
      <w:proofErr w:type="gramStart"/>
      <w:r w:rsidRPr="00A37C31">
        <w:rPr>
          <w:rFonts w:ascii="Times New Roman" w:hAnsi="Times New Roman" w:cs="Times New Roman"/>
          <w:sz w:val="30"/>
          <w:szCs w:val="30"/>
        </w:rPr>
        <w:t>.</w:t>
      </w:r>
      <w:r w:rsidR="006E63B0">
        <w:rPr>
          <w:rFonts w:ascii="Times New Roman" w:hAnsi="Times New Roman" w:cs="Times New Roman"/>
          <w:sz w:val="30"/>
          <w:szCs w:val="30"/>
        </w:rPr>
        <w:t>».</w:t>
      </w:r>
      <w:proofErr w:type="gramEnd"/>
    </w:p>
    <w:p w:rsidR="006E63B0" w:rsidRDefault="006E63B0" w:rsidP="006E63B0">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3. Пункт 48 изложить в следующей редакции</w:t>
      </w:r>
      <w:r w:rsidRPr="00EC67E7">
        <w:rPr>
          <w:rFonts w:ascii="Times New Roman" w:hAnsi="Times New Roman" w:cs="Times New Roman"/>
          <w:sz w:val="30"/>
          <w:szCs w:val="30"/>
        </w:rPr>
        <w:t>:</w:t>
      </w:r>
    </w:p>
    <w:p w:rsidR="00A37C31" w:rsidRDefault="006E63B0" w:rsidP="00A37C31">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w:t>
      </w:r>
      <w:r w:rsidR="00A37C31" w:rsidRPr="00A37C31">
        <w:rPr>
          <w:rFonts w:ascii="Times New Roman" w:hAnsi="Times New Roman" w:cs="Times New Roman"/>
          <w:sz w:val="30"/>
          <w:szCs w:val="30"/>
        </w:rPr>
        <w:t>48</w:t>
      </w:r>
      <w:r w:rsidR="00A37C31">
        <w:rPr>
          <w:rFonts w:ascii="Times New Roman" w:hAnsi="Times New Roman" w:cs="Times New Roman"/>
          <w:sz w:val="30"/>
          <w:szCs w:val="30"/>
        </w:rPr>
        <w:t>. </w:t>
      </w:r>
      <w:r w:rsidR="00A37C31" w:rsidRPr="00A37C31">
        <w:rPr>
          <w:rFonts w:ascii="Times New Roman" w:hAnsi="Times New Roman" w:cs="Times New Roman"/>
          <w:sz w:val="30"/>
          <w:szCs w:val="30"/>
        </w:rPr>
        <w:t>Экземпляры решения по делу, принятого Коллегией Комиссии, направляются комиссией по рассмотрению дела лицам, участвующим в рассмотрении дела.</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A37C31">
        <w:rPr>
          <w:rFonts w:ascii="Times New Roman" w:hAnsi="Times New Roman" w:cs="Times New Roman"/>
          <w:sz w:val="30"/>
          <w:szCs w:val="30"/>
        </w:rPr>
        <w:t xml:space="preserve">Экземпляр решения Коллегии Комиссии </w:t>
      </w:r>
      <w:r w:rsidRPr="00A37C31">
        <w:rPr>
          <w:rFonts w:ascii="Times New Roman" w:hAnsi="Times New Roman" w:cs="Times New Roman"/>
          <w:bCs/>
          <w:sz w:val="30"/>
          <w:szCs w:val="30"/>
        </w:rPr>
        <w:t>по делу</w:t>
      </w:r>
      <w:r w:rsidRPr="00A37C31">
        <w:rPr>
          <w:rFonts w:ascii="Times New Roman" w:hAnsi="Times New Roman" w:cs="Times New Roman"/>
          <w:sz w:val="30"/>
          <w:szCs w:val="30"/>
        </w:rPr>
        <w:t xml:space="preserve">, заверяется на последнем листе лицевой стороны печатью Комиссии «Для документов». Экземпляр решения Коллегии Комиссии прошивается прочной ниткой или скрепляется скобой с использованием </w:t>
      </w:r>
      <w:proofErr w:type="spellStart"/>
      <w:r w:rsidRPr="00A37C31">
        <w:rPr>
          <w:rFonts w:ascii="Times New Roman" w:hAnsi="Times New Roman" w:cs="Times New Roman"/>
          <w:sz w:val="30"/>
          <w:szCs w:val="30"/>
        </w:rPr>
        <w:t>степлера</w:t>
      </w:r>
      <w:proofErr w:type="spellEnd"/>
      <w:r w:rsidRPr="00A37C31">
        <w:rPr>
          <w:rFonts w:ascii="Times New Roman" w:hAnsi="Times New Roman" w:cs="Times New Roman"/>
          <w:sz w:val="30"/>
          <w:szCs w:val="30"/>
        </w:rPr>
        <w:t xml:space="preserve">, на оборотной стороне последнего листа в местах скрепления накладывается наклейка с </w:t>
      </w:r>
      <w:proofErr w:type="spellStart"/>
      <w:r w:rsidRPr="00A37C31">
        <w:rPr>
          <w:rFonts w:ascii="Times New Roman" w:hAnsi="Times New Roman" w:cs="Times New Roman"/>
          <w:sz w:val="30"/>
          <w:szCs w:val="30"/>
        </w:rPr>
        <w:t>заверительной</w:t>
      </w:r>
      <w:proofErr w:type="spellEnd"/>
      <w:r w:rsidRPr="00A37C31">
        <w:rPr>
          <w:rFonts w:ascii="Times New Roman" w:hAnsi="Times New Roman" w:cs="Times New Roman"/>
          <w:sz w:val="30"/>
          <w:szCs w:val="30"/>
        </w:rPr>
        <w:t xml:space="preserve"> надписью «Евразийская экономическая комиссия, </w:t>
      </w:r>
      <w:proofErr w:type="gramStart"/>
      <w:r w:rsidRPr="00A37C31">
        <w:rPr>
          <w:rFonts w:ascii="Times New Roman" w:hAnsi="Times New Roman" w:cs="Times New Roman"/>
          <w:sz w:val="30"/>
          <w:szCs w:val="30"/>
        </w:rPr>
        <w:t>пронумеровано и скреплено</w:t>
      </w:r>
      <w:proofErr w:type="gramEnd"/>
      <w:r w:rsidRPr="00A37C31">
        <w:rPr>
          <w:rFonts w:ascii="Times New Roman" w:hAnsi="Times New Roman" w:cs="Times New Roman"/>
          <w:sz w:val="30"/>
          <w:szCs w:val="30"/>
        </w:rPr>
        <w:t xml:space="preserve"> печатью </w:t>
      </w:r>
      <w:r w:rsidR="00E34E07">
        <w:rPr>
          <w:rFonts w:ascii="Times New Roman" w:hAnsi="Times New Roman" w:cs="Times New Roman"/>
          <w:sz w:val="30"/>
          <w:szCs w:val="30"/>
        </w:rPr>
        <w:t>«</w:t>
      </w:r>
      <w:r w:rsidRPr="00A37C31">
        <w:rPr>
          <w:rFonts w:ascii="Times New Roman" w:hAnsi="Times New Roman" w:cs="Times New Roman"/>
          <w:sz w:val="30"/>
          <w:szCs w:val="30"/>
        </w:rPr>
        <w:t>____</w:t>
      </w:r>
      <w:r w:rsidR="00E34E07">
        <w:rPr>
          <w:rFonts w:ascii="Times New Roman" w:hAnsi="Times New Roman" w:cs="Times New Roman"/>
          <w:sz w:val="30"/>
          <w:szCs w:val="30"/>
        </w:rPr>
        <w:t>»</w:t>
      </w:r>
      <w:r w:rsidRPr="00A37C31">
        <w:rPr>
          <w:rFonts w:ascii="Times New Roman" w:hAnsi="Times New Roman" w:cs="Times New Roman"/>
          <w:sz w:val="30"/>
          <w:szCs w:val="30"/>
        </w:rPr>
        <w:t xml:space="preserve"> листов, подпись председателя комиссии по рассмотрению дела», указанная подпись скрепляется печатью Комиссии «Для документов».</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A37C31">
        <w:rPr>
          <w:rFonts w:ascii="Times New Roman" w:hAnsi="Times New Roman" w:cs="Times New Roman"/>
          <w:sz w:val="30"/>
          <w:szCs w:val="30"/>
        </w:rPr>
        <w:t>Количество экземпляров решений Коллегии Комиссии должно  соответствовать числу лиц, участвующих в рассмотрении дела.</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A37C31">
        <w:rPr>
          <w:rFonts w:ascii="Times New Roman" w:hAnsi="Times New Roman" w:cs="Times New Roman"/>
          <w:sz w:val="30"/>
          <w:szCs w:val="30"/>
        </w:rPr>
        <w:t>Указанные экземпляры решения по делу направляются лицам, участвующим в рассмотрении дела, любым доступным для них способом, позволяющим установить факт получения ими таких экземпляров решений</w:t>
      </w:r>
      <w:proofErr w:type="gramStart"/>
      <w:r w:rsidRPr="00A37C31">
        <w:rPr>
          <w:rFonts w:ascii="Times New Roman" w:hAnsi="Times New Roman" w:cs="Times New Roman"/>
          <w:sz w:val="30"/>
          <w:szCs w:val="30"/>
        </w:rPr>
        <w:t>.</w:t>
      </w:r>
      <w:r w:rsidR="00DF5B73">
        <w:rPr>
          <w:rFonts w:ascii="Times New Roman" w:hAnsi="Times New Roman" w:cs="Times New Roman"/>
          <w:sz w:val="30"/>
          <w:szCs w:val="30"/>
        </w:rPr>
        <w:t>».</w:t>
      </w:r>
      <w:proofErr w:type="gramEnd"/>
    </w:p>
    <w:p w:rsidR="00DF5B73" w:rsidRPr="00DF5B73" w:rsidRDefault="00DF5B73" w:rsidP="00A37C31">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 xml:space="preserve">4. Дополнить пунктами </w:t>
      </w:r>
      <w:r w:rsidR="00A37C31" w:rsidRPr="00A37C31">
        <w:rPr>
          <w:rFonts w:ascii="Times New Roman" w:hAnsi="Times New Roman" w:cs="Times New Roman"/>
          <w:sz w:val="30"/>
          <w:szCs w:val="30"/>
        </w:rPr>
        <w:t>4</w:t>
      </w:r>
      <w:r>
        <w:rPr>
          <w:rFonts w:ascii="Times New Roman" w:hAnsi="Times New Roman" w:cs="Times New Roman"/>
          <w:sz w:val="30"/>
          <w:szCs w:val="30"/>
        </w:rPr>
        <w:t>8</w:t>
      </w:r>
      <w:r>
        <w:rPr>
          <w:rFonts w:ascii="Times New Roman" w:hAnsi="Times New Roman" w:cs="Times New Roman"/>
          <w:sz w:val="30"/>
          <w:szCs w:val="30"/>
          <w:vertAlign w:val="superscript"/>
        </w:rPr>
        <w:t xml:space="preserve">1 </w:t>
      </w:r>
      <w:r>
        <w:rPr>
          <w:rFonts w:ascii="Times New Roman" w:hAnsi="Times New Roman" w:cs="Times New Roman"/>
          <w:sz w:val="30"/>
          <w:szCs w:val="30"/>
        </w:rPr>
        <w:t>и 48</w:t>
      </w:r>
      <w:r>
        <w:rPr>
          <w:rFonts w:ascii="Times New Roman" w:hAnsi="Times New Roman" w:cs="Times New Roman"/>
          <w:sz w:val="30"/>
          <w:szCs w:val="30"/>
          <w:vertAlign w:val="superscript"/>
        </w:rPr>
        <w:t xml:space="preserve">2 </w:t>
      </w:r>
      <w:r>
        <w:rPr>
          <w:rFonts w:ascii="Times New Roman" w:hAnsi="Times New Roman" w:cs="Times New Roman"/>
          <w:sz w:val="30"/>
          <w:szCs w:val="30"/>
        </w:rPr>
        <w:t>следующего содержания:</w:t>
      </w:r>
    </w:p>
    <w:p w:rsidR="00A37C31" w:rsidRDefault="00DF5B73" w:rsidP="00A37C31">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w:t>
      </w:r>
      <w:r w:rsidRPr="00A37C31">
        <w:rPr>
          <w:rFonts w:ascii="Times New Roman" w:hAnsi="Times New Roman" w:cs="Times New Roman"/>
          <w:sz w:val="30"/>
          <w:szCs w:val="30"/>
        </w:rPr>
        <w:t>4</w:t>
      </w:r>
      <w:r>
        <w:rPr>
          <w:rFonts w:ascii="Times New Roman" w:hAnsi="Times New Roman" w:cs="Times New Roman"/>
          <w:sz w:val="30"/>
          <w:szCs w:val="30"/>
        </w:rPr>
        <w:t>8</w:t>
      </w:r>
      <w:r>
        <w:rPr>
          <w:rFonts w:ascii="Times New Roman" w:hAnsi="Times New Roman" w:cs="Times New Roman"/>
          <w:sz w:val="30"/>
          <w:szCs w:val="30"/>
          <w:vertAlign w:val="superscript"/>
        </w:rPr>
        <w:t>1</w:t>
      </w:r>
      <w:r>
        <w:rPr>
          <w:rFonts w:ascii="Times New Roman" w:hAnsi="Times New Roman" w:cs="Times New Roman"/>
          <w:sz w:val="30"/>
          <w:szCs w:val="30"/>
        </w:rPr>
        <w:t>. </w:t>
      </w:r>
      <w:r w:rsidR="00A37C31" w:rsidRPr="00A37C31">
        <w:rPr>
          <w:rFonts w:ascii="Times New Roman" w:hAnsi="Times New Roman" w:cs="Times New Roman"/>
          <w:sz w:val="30"/>
          <w:szCs w:val="30"/>
        </w:rPr>
        <w:t>Уполномоченное структурное подразделение Комиссии осуществляет контроль исполнения принятых решений по делу в установленный срок, в том числе посредством следующих действий:</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A37C31">
        <w:rPr>
          <w:rFonts w:ascii="Times New Roman" w:hAnsi="Times New Roman" w:cs="Times New Roman"/>
          <w:sz w:val="30"/>
          <w:szCs w:val="30"/>
        </w:rPr>
        <w:t>-</w:t>
      </w:r>
      <w:r w:rsidRPr="00A37C31">
        <w:rPr>
          <w:rFonts w:ascii="Times New Roman" w:hAnsi="Times New Roman" w:cs="Times New Roman"/>
          <w:sz w:val="30"/>
          <w:szCs w:val="30"/>
          <w:lang w:val="en-US"/>
        </w:rPr>
        <w:t> </w:t>
      </w:r>
      <w:r w:rsidRPr="00A37C31">
        <w:rPr>
          <w:rFonts w:ascii="Times New Roman" w:hAnsi="Times New Roman" w:cs="Times New Roman"/>
          <w:sz w:val="30"/>
          <w:szCs w:val="30"/>
        </w:rPr>
        <w:t>подготовка и направление ответчику запроса информации от имени Комиссии об исполнении им решения Коллегии Комиссии;</w:t>
      </w:r>
    </w:p>
    <w:p w:rsidR="00E34E07" w:rsidRDefault="00E34E07" w:rsidP="00E34E07">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 анализ</w:t>
      </w:r>
      <w:r w:rsidR="00A37C31" w:rsidRPr="00A37C31">
        <w:rPr>
          <w:rFonts w:ascii="Times New Roman" w:hAnsi="Times New Roman" w:cs="Times New Roman"/>
          <w:sz w:val="30"/>
          <w:szCs w:val="30"/>
        </w:rPr>
        <w:t xml:space="preserve"> имеющейся информации на предмет подтверждения исполнения ответчиком решения Коллегии Комиссии в полном объеме.</w:t>
      </w:r>
    </w:p>
    <w:p w:rsidR="00E34E07" w:rsidRPr="00E34E07" w:rsidRDefault="00DF5B73" w:rsidP="00E34E07">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48</w:t>
      </w:r>
      <w:r>
        <w:rPr>
          <w:rFonts w:ascii="Times New Roman" w:hAnsi="Times New Roman" w:cs="Times New Roman"/>
          <w:sz w:val="30"/>
          <w:szCs w:val="30"/>
          <w:vertAlign w:val="superscript"/>
        </w:rPr>
        <w:t>2</w:t>
      </w:r>
      <w:r w:rsidR="00E34E07">
        <w:rPr>
          <w:rFonts w:ascii="Times New Roman" w:hAnsi="Times New Roman" w:cs="Times New Roman"/>
          <w:sz w:val="30"/>
          <w:szCs w:val="30"/>
        </w:rPr>
        <w:t>. </w:t>
      </w:r>
      <w:r w:rsidR="00E34E07" w:rsidRPr="00E34E07">
        <w:rPr>
          <w:rFonts w:ascii="Times New Roman" w:hAnsi="Times New Roman" w:cs="Times New Roman"/>
          <w:sz w:val="30"/>
          <w:szCs w:val="30"/>
        </w:rPr>
        <w:t>В целях осуществления исполнительного производства в министерство иностранных дел государства-члена, в соответствии с пункт</w:t>
      </w:r>
      <w:r w:rsidR="00B16B26">
        <w:rPr>
          <w:rFonts w:ascii="Times New Roman" w:hAnsi="Times New Roman" w:cs="Times New Roman"/>
          <w:sz w:val="30"/>
          <w:szCs w:val="30"/>
        </w:rPr>
        <w:t>ами 17</w:t>
      </w:r>
      <w:r w:rsidR="00B16B26">
        <w:rPr>
          <w:rFonts w:ascii="Times New Roman" w:hAnsi="Times New Roman" w:cs="Times New Roman"/>
          <w:sz w:val="30"/>
          <w:szCs w:val="30"/>
          <w:vertAlign w:val="superscript"/>
        </w:rPr>
        <w:t>1</w:t>
      </w:r>
      <w:r w:rsidR="00B16B26">
        <w:rPr>
          <w:rFonts w:ascii="Times New Roman" w:hAnsi="Times New Roman" w:cs="Times New Roman"/>
          <w:sz w:val="30"/>
          <w:szCs w:val="30"/>
        </w:rPr>
        <w:t>, 1</w:t>
      </w:r>
      <w:r w:rsidR="00E34E07" w:rsidRPr="00E34E07">
        <w:rPr>
          <w:rFonts w:ascii="Times New Roman" w:hAnsi="Times New Roman" w:cs="Times New Roman"/>
          <w:sz w:val="30"/>
          <w:szCs w:val="30"/>
        </w:rPr>
        <w:t>8 Методики, направляется то количество экземпляров решений Коллегии Комиссии, которое соответствует числу лиц, привлечённых к ответственности.</w:t>
      </w:r>
    </w:p>
    <w:p w:rsidR="00E34E07" w:rsidRPr="00E34E07" w:rsidRDefault="00E34E07" w:rsidP="00E34E07">
      <w:pPr>
        <w:pStyle w:val="ConsPlusNormal"/>
        <w:widowControl/>
        <w:spacing w:line="360" w:lineRule="auto"/>
        <w:ind w:right="-284" w:firstLine="709"/>
        <w:jc w:val="both"/>
        <w:rPr>
          <w:rFonts w:ascii="Times New Roman" w:hAnsi="Times New Roman" w:cs="Times New Roman"/>
          <w:sz w:val="30"/>
          <w:szCs w:val="30"/>
        </w:rPr>
      </w:pPr>
      <w:r w:rsidRPr="00E34E07">
        <w:rPr>
          <w:rFonts w:ascii="Times New Roman" w:hAnsi="Times New Roman" w:cs="Times New Roman"/>
          <w:sz w:val="30"/>
          <w:szCs w:val="30"/>
        </w:rPr>
        <w:t xml:space="preserve">Порядок </w:t>
      </w:r>
      <w:proofErr w:type="gramStart"/>
      <w:r w:rsidRPr="00E34E07">
        <w:rPr>
          <w:rFonts w:ascii="Times New Roman" w:hAnsi="Times New Roman" w:cs="Times New Roman"/>
          <w:sz w:val="30"/>
          <w:szCs w:val="30"/>
        </w:rPr>
        <w:t>заверения экземпляров решений Коллегии Комиссии</w:t>
      </w:r>
      <w:proofErr w:type="gramEnd"/>
      <w:r w:rsidRPr="00E34E07">
        <w:rPr>
          <w:rFonts w:ascii="Times New Roman" w:hAnsi="Times New Roman" w:cs="Times New Roman"/>
          <w:sz w:val="30"/>
          <w:szCs w:val="30"/>
        </w:rPr>
        <w:t xml:space="preserve"> установлен </w:t>
      </w:r>
      <w:r w:rsidR="00B16B26">
        <w:rPr>
          <w:rFonts w:ascii="Times New Roman" w:hAnsi="Times New Roman" w:cs="Times New Roman"/>
          <w:sz w:val="30"/>
          <w:szCs w:val="30"/>
        </w:rPr>
        <w:t xml:space="preserve">абзацем вторым </w:t>
      </w:r>
      <w:r w:rsidRPr="00E34E07">
        <w:rPr>
          <w:rFonts w:ascii="Times New Roman" w:hAnsi="Times New Roman" w:cs="Times New Roman"/>
          <w:sz w:val="30"/>
          <w:szCs w:val="30"/>
        </w:rPr>
        <w:t>пункт</w:t>
      </w:r>
      <w:r w:rsidR="00B16B26">
        <w:rPr>
          <w:rFonts w:ascii="Times New Roman" w:hAnsi="Times New Roman" w:cs="Times New Roman"/>
          <w:sz w:val="30"/>
          <w:szCs w:val="30"/>
        </w:rPr>
        <w:t>а</w:t>
      </w:r>
      <w:r w:rsidRPr="00E34E07">
        <w:rPr>
          <w:rFonts w:ascii="Times New Roman" w:hAnsi="Times New Roman" w:cs="Times New Roman"/>
          <w:sz w:val="30"/>
          <w:szCs w:val="30"/>
        </w:rPr>
        <w:t xml:space="preserve"> 48 настоящего Порядка.</w:t>
      </w:r>
    </w:p>
    <w:p w:rsidR="00E34E07" w:rsidRPr="00E34E07" w:rsidRDefault="00B16B26" w:rsidP="00E34E07">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При направлении экземпляров решений Коллегии Комиссии в министерство иностранных дел государства-члена н</w:t>
      </w:r>
      <w:r w:rsidR="00E34E07" w:rsidRPr="00E34E07">
        <w:rPr>
          <w:rFonts w:ascii="Times New Roman" w:hAnsi="Times New Roman" w:cs="Times New Roman"/>
          <w:sz w:val="30"/>
          <w:szCs w:val="30"/>
        </w:rPr>
        <w:t>а последнем листе лицевой стороны экземпляра решения по делу проставляется отметка о дате</w:t>
      </w:r>
      <w:r>
        <w:rPr>
          <w:rFonts w:ascii="Times New Roman" w:hAnsi="Times New Roman" w:cs="Times New Roman"/>
          <w:sz w:val="30"/>
          <w:szCs w:val="30"/>
        </w:rPr>
        <w:t xml:space="preserve"> его вступления в законную силу</w:t>
      </w:r>
      <w:r w:rsidR="000F47B8">
        <w:rPr>
          <w:rFonts w:ascii="Times New Roman" w:hAnsi="Times New Roman" w:cs="Times New Roman"/>
          <w:sz w:val="30"/>
          <w:szCs w:val="30"/>
        </w:rPr>
        <w:t xml:space="preserve">, которая заверяется </w:t>
      </w:r>
      <w:r w:rsidR="009644B4" w:rsidRPr="00A37C31">
        <w:rPr>
          <w:rFonts w:ascii="Times New Roman" w:hAnsi="Times New Roman" w:cs="Times New Roman"/>
          <w:sz w:val="30"/>
          <w:szCs w:val="30"/>
        </w:rPr>
        <w:t>подпись</w:t>
      </w:r>
      <w:r w:rsidR="009644B4">
        <w:rPr>
          <w:rFonts w:ascii="Times New Roman" w:hAnsi="Times New Roman" w:cs="Times New Roman"/>
          <w:sz w:val="30"/>
          <w:szCs w:val="30"/>
        </w:rPr>
        <w:t>ю</w:t>
      </w:r>
      <w:r w:rsidR="009644B4" w:rsidRPr="00A37C31">
        <w:rPr>
          <w:rFonts w:ascii="Times New Roman" w:hAnsi="Times New Roman" w:cs="Times New Roman"/>
          <w:sz w:val="30"/>
          <w:szCs w:val="30"/>
        </w:rPr>
        <w:t xml:space="preserve"> председателя комиссии по рассмотрению дела, указанная подпись скрепляется печатью Комиссии «Для документов</w:t>
      </w:r>
      <w:r w:rsidR="009644B4">
        <w:rPr>
          <w:rFonts w:ascii="Times New Roman" w:hAnsi="Times New Roman" w:cs="Times New Roman"/>
          <w:sz w:val="30"/>
          <w:szCs w:val="30"/>
        </w:rPr>
        <w:t>».</w:t>
      </w:r>
    </w:p>
    <w:p w:rsidR="002B3246" w:rsidRDefault="00E34E07" w:rsidP="002B3246">
      <w:pPr>
        <w:pStyle w:val="ConsPlusNormal"/>
        <w:widowControl/>
        <w:spacing w:line="360" w:lineRule="auto"/>
        <w:ind w:right="-284" w:firstLine="709"/>
        <w:jc w:val="both"/>
        <w:rPr>
          <w:rFonts w:ascii="Times New Roman" w:hAnsi="Times New Roman" w:cs="Times New Roman"/>
          <w:sz w:val="30"/>
          <w:szCs w:val="30"/>
        </w:rPr>
      </w:pPr>
      <w:r w:rsidRPr="00E34E07">
        <w:rPr>
          <w:rFonts w:ascii="Times New Roman" w:hAnsi="Times New Roman" w:cs="Times New Roman"/>
          <w:sz w:val="30"/>
          <w:szCs w:val="30"/>
        </w:rPr>
        <w:t xml:space="preserve">Уполномоченное структурное подразделение Комиссии не направляет решение Коллегии Комиссии на принудительное исполнение при наличии документов, свидетельствующих об </w:t>
      </w:r>
      <w:r w:rsidR="00B16B26">
        <w:rPr>
          <w:rFonts w:ascii="Times New Roman" w:hAnsi="Times New Roman" w:cs="Times New Roman"/>
          <w:sz w:val="30"/>
          <w:szCs w:val="30"/>
        </w:rPr>
        <w:t>исполнении решения Коллегии Комиссии</w:t>
      </w:r>
      <w:r w:rsidRPr="00E34E07">
        <w:rPr>
          <w:rFonts w:ascii="Times New Roman" w:hAnsi="Times New Roman" w:cs="Times New Roman"/>
          <w:sz w:val="30"/>
          <w:szCs w:val="30"/>
        </w:rPr>
        <w:t>.</w:t>
      </w:r>
    </w:p>
    <w:p w:rsidR="002B3246" w:rsidRDefault="002B3246" w:rsidP="00E34E07">
      <w:pPr>
        <w:pStyle w:val="ConsPlusNormal"/>
        <w:widowControl/>
        <w:spacing w:line="360" w:lineRule="auto"/>
        <w:ind w:right="-284" w:firstLine="709"/>
        <w:jc w:val="both"/>
        <w:rPr>
          <w:rFonts w:ascii="Times New Roman" w:hAnsi="Times New Roman" w:cs="Times New Roman"/>
          <w:sz w:val="30"/>
          <w:szCs w:val="30"/>
        </w:rPr>
      </w:pPr>
      <w:r w:rsidRPr="002B3246">
        <w:rPr>
          <w:rFonts w:ascii="Times New Roman" w:hAnsi="Times New Roman" w:cs="Times New Roman"/>
          <w:sz w:val="30"/>
          <w:szCs w:val="30"/>
        </w:rPr>
        <w:t xml:space="preserve">При частичном исполнении </w:t>
      </w:r>
      <w:r>
        <w:rPr>
          <w:rFonts w:ascii="Times New Roman" w:hAnsi="Times New Roman" w:cs="Times New Roman"/>
          <w:sz w:val="30"/>
          <w:szCs w:val="30"/>
        </w:rPr>
        <w:t>решения Коллегии Комиссии</w:t>
      </w:r>
      <w:r w:rsidRPr="002B3246">
        <w:rPr>
          <w:rFonts w:ascii="Times New Roman" w:hAnsi="Times New Roman" w:cs="Times New Roman"/>
          <w:sz w:val="30"/>
          <w:szCs w:val="30"/>
        </w:rPr>
        <w:t xml:space="preserve"> </w:t>
      </w:r>
      <w:r>
        <w:rPr>
          <w:rFonts w:ascii="Times New Roman" w:hAnsi="Times New Roman" w:cs="Times New Roman"/>
          <w:sz w:val="30"/>
          <w:szCs w:val="30"/>
        </w:rPr>
        <w:t xml:space="preserve">в </w:t>
      </w:r>
      <w:r w:rsidRPr="00E34E07">
        <w:rPr>
          <w:rFonts w:ascii="Times New Roman" w:hAnsi="Times New Roman" w:cs="Times New Roman"/>
          <w:sz w:val="30"/>
          <w:szCs w:val="30"/>
        </w:rPr>
        <w:t>министерство иностранных дел государства-члена</w:t>
      </w:r>
      <w:r>
        <w:rPr>
          <w:rFonts w:ascii="Times New Roman" w:hAnsi="Times New Roman" w:cs="Times New Roman"/>
          <w:sz w:val="30"/>
          <w:szCs w:val="30"/>
        </w:rPr>
        <w:t>,</w:t>
      </w:r>
      <w:r w:rsidRPr="002B3246">
        <w:rPr>
          <w:rFonts w:ascii="Times New Roman" w:hAnsi="Times New Roman" w:cs="Times New Roman"/>
          <w:sz w:val="30"/>
          <w:szCs w:val="30"/>
        </w:rPr>
        <w:t xml:space="preserve"> </w:t>
      </w:r>
      <w:r w:rsidRPr="00E34E07">
        <w:rPr>
          <w:rFonts w:ascii="Times New Roman" w:hAnsi="Times New Roman" w:cs="Times New Roman"/>
          <w:sz w:val="30"/>
          <w:szCs w:val="30"/>
        </w:rPr>
        <w:t>в соответствии с пункт</w:t>
      </w:r>
      <w:r>
        <w:rPr>
          <w:rFonts w:ascii="Times New Roman" w:hAnsi="Times New Roman" w:cs="Times New Roman"/>
          <w:sz w:val="30"/>
          <w:szCs w:val="30"/>
        </w:rPr>
        <w:t>ами 17</w:t>
      </w:r>
      <w:r>
        <w:rPr>
          <w:rFonts w:ascii="Times New Roman" w:hAnsi="Times New Roman" w:cs="Times New Roman"/>
          <w:sz w:val="30"/>
          <w:szCs w:val="30"/>
          <w:vertAlign w:val="superscript"/>
        </w:rPr>
        <w:t>1</w:t>
      </w:r>
      <w:r>
        <w:rPr>
          <w:rFonts w:ascii="Times New Roman" w:hAnsi="Times New Roman" w:cs="Times New Roman"/>
          <w:sz w:val="30"/>
          <w:szCs w:val="30"/>
        </w:rPr>
        <w:t>, 1</w:t>
      </w:r>
      <w:r w:rsidRPr="00E34E07">
        <w:rPr>
          <w:rFonts w:ascii="Times New Roman" w:hAnsi="Times New Roman" w:cs="Times New Roman"/>
          <w:sz w:val="30"/>
          <w:szCs w:val="30"/>
        </w:rPr>
        <w:t>8 Методики</w:t>
      </w:r>
      <w:r>
        <w:rPr>
          <w:rFonts w:ascii="Times New Roman" w:hAnsi="Times New Roman" w:cs="Times New Roman"/>
          <w:sz w:val="30"/>
          <w:szCs w:val="30"/>
        </w:rPr>
        <w:t>, направляется документ, подтверждающий такое исполнение</w:t>
      </w:r>
      <w:proofErr w:type="gramStart"/>
      <w:r>
        <w:rPr>
          <w:rFonts w:ascii="Times New Roman" w:hAnsi="Times New Roman" w:cs="Times New Roman"/>
          <w:sz w:val="30"/>
          <w:szCs w:val="30"/>
        </w:rPr>
        <w:t>.».</w:t>
      </w:r>
      <w:proofErr w:type="gramEnd"/>
    </w:p>
    <w:p w:rsidR="00875A05" w:rsidRPr="00EC67E7" w:rsidRDefault="00875A05" w:rsidP="00875A05">
      <w:pPr>
        <w:pStyle w:val="ConsPlusNormal"/>
        <w:spacing w:line="360" w:lineRule="auto"/>
        <w:ind w:right="-284"/>
        <w:jc w:val="center"/>
        <w:rPr>
          <w:rFonts w:ascii="Times New Roman" w:hAnsi="Times New Roman" w:cs="Times New Roman"/>
          <w:sz w:val="30"/>
          <w:szCs w:val="30"/>
        </w:rPr>
      </w:pPr>
      <w:bookmarkStart w:id="1" w:name="_GoBack"/>
      <w:bookmarkEnd w:id="1"/>
      <w:r w:rsidRPr="00EC67E7">
        <w:rPr>
          <w:rFonts w:ascii="Times New Roman" w:hAnsi="Times New Roman" w:cs="Times New Roman"/>
          <w:sz w:val="30"/>
          <w:szCs w:val="30"/>
        </w:rPr>
        <w:t>_____________</w:t>
      </w:r>
    </w:p>
    <w:sectPr w:rsidR="00875A05" w:rsidRPr="00EC67E7" w:rsidSect="00030812">
      <w:headerReference w:type="default" r:id="rId13"/>
      <w:pgSz w:w="11905" w:h="16838"/>
      <w:pgMar w:top="1134" w:right="1134" w:bottom="1276"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18" w:rsidRDefault="002E1618" w:rsidP="00D173FB">
      <w:pPr>
        <w:spacing w:after="0" w:line="240" w:lineRule="auto"/>
      </w:pPr>
      <w:r>
        <w:separator/>
      </w:r>
    </w:p>
  </w:endnote>
  <w:endnote w:type="continuationSeparator" w:id="0">
    <w:p w:rsidR="002E1618" w:rsidRDefault="002E1618" w:rsidP="00D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18" w:rsidRDefault="002E1618" w:rsidP="00D173FB">
      <w:pPr>
        <w:spacing w:after="0" w:line="240" w:lineRule="auto"/>
      </w:pPr>
      <w:r>
        <w:separator/>
      </w:r>
    </w:p>
  </w:footnote>
  <w:footnote w:type="continuationSeparator" w:id="0">
    <w:p w:rsidR="002E1618" w:rsidRDefault="002E1618" w:rsidP="00D17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179281"/>
      <w:docPartObj>
        <w:docPartGallery w:val="Page Numbers (Top of Page)"/>
        <w:docPartUnique/>
      </w:docPartObj>
    </w:sdtPr>
    <w:sdtEndPr>
      <w:rPr>
        <w:rFonts w:ascii="Times New Roman" w:hAnsi="Times New Roman" w:cs="Times New Roman"/>
        <w:sz w:val="30"/>
        <w:szCs w:val="30"/>
      </w:rPr>
    </w:sdtEndPr>
    <w:sdtContent>
      <w:p w:rsidR="007262FC" w:rsidRDefault="007262FC">
        <w:pPr>
          <w:pStyle w:val="ab"/>
          <w:jc w:val="center"/>
        </w:pPr>
      </w:p>
      <w:p w:rsidR="007262FC" w:rsidRDefault="007262FC">
        <w:pPr>
          <w:pStyle w:val="ab"/>
          <w:jc w:val="center"/>
          <w:rPr>
            <w:rFonts w:ascii="Times New Roman" w:hAnsi="Times New Roman" w:cs="Times New Roman"/>
          </w:rPr>
        </w:pPr>
      </w:p>
      <w:p w:rsidR="007262FC" w:rsidRPr="00573F01" w:rsidRDefault="007262FC">
        <w:pPr>
          <w:pStyle w:val="ab"/>
          <w:jc w:val="center"/>
          <w:rPr>
            <w:rFonts w:ascii="Times New Roman" w:hAnsi="Times New Roman" w:cs="Times New Roman"/>
            <w:sz w:val="30"/>
            <w:szCs w:val="30"/>
          </w:rPr>
        </w:pPr>
        <w:r w:rsidRPr="00573F01">
          <w:rPr>
            <w:rFonts w:ascii="Times New Roman" w:hAnsi="Times New Roman" w:cs="Times New Roman"/>
            <w:sz w:val="30"/>
            <w:szCs w:val="30"/>
          </w:rPr>
          <w:fldChar w:fldCharType="begin"/>
        </w:r>
        <w:r w:rsidRPr="00573F01">
          <w:rPr>
            <w:rFonts w:ascii="Times New Roman" w:hAnsi="Times New Roman" w:cs="Times New Roman"/>
            <w:sz w:val="30"/>
            <w:szCs w:val="30"/>
          </w:rPr>
          <w:instrText>PAGE   \* MERGEFORMAT</w:instrText>
        </w:r>
        <w:r w:rsidRPr="00573F01">
          <w:rPr>
            <w:rFonts w:ascii="Times New Roman" w:hAnsi="Times New Roman" w:cs="Times New Roman"/>
            <w:sz w:val="30"/>
            <w:szCs w:val="30"/>
          </w:rPr>
          <w:fldChar w:fldCharType="separate"/>
        </w:r>
        <w:r w:rsidR="002B3246">
          <w:rPr>
            <w:rFonts w:ascii="Times New Roman" w:hAnsi="Times New Roman" w:cs="Times New Roman"/>
            <w:noProof/>
            <w:sz w:val="30"/>
            <w:szCs w:val="30"/>
          </w:rPr>
          <w:t>5</w:t>
        </w:r>
        <w:r w:rsidRPr="00573F01">
          <w:rPr>
            <w:rFonts w:ascii="Times New Roman" w:hAnsi="Times New Roman" w:cs="Times New Roman"/>
            <w:sz w:val="30"/>
            <w:szCs w:val="30"/>
          </w:rPr>
          <w:fldChar w:fldCharType="end"/>
        </w:r>
      </w:p>
    </w:sdtContent>
  </w:sdt>
  <w:p w:rsidR="007262FC" w:rsidRDefault="007262F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082D"/>
    <w:multiLevelType w:val="hybridMultilevel"/>
    <w:tmpl w:val="0F9C1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193D45"/>
    <w:multiLevelType w:val="hybridMultilevel"/>
    <w:tmpl w:val="FCE469E4"/>
    <w:lvl w:ilvl="0" w:tplc="60A27EC0">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97"/>
    <w:rsid w:val="00001185"/>
    <w:rsid w:val="000150D7"/>
    <w:rsid w:val="0001645C"/>
    <w:rsid w:val="00016DBC"/>
    <w:rsid w:val="00025824"/>
    <w:rsid w:val="00030812"/>
    <w:rsid w:val="0004449E"/>
    <w:rsid w:val="0005647D"/>
    <w:rsid w:val="00056A64"/>
    <w:rsid w:val="00065BB8"/>
    <w:rsid w:val="00077AF5"/>
    <w:rsid w:val="000809BE"/>
    <w:rsid w:val="000D37ED"/>
    <w:rsid w:val="000D7954"/>
    <w:rsid w:val="000E410F"/>
    <w:rsid w:val="000F47B8"/>
    <w:rsid w:val="001070F9"/>
    <w:rsid w:val="00107F26"/>
    <w:rsid w:val="00126A32"/>
    <w:rsid w:val="001513AF"/>
    <w:rsid w:val="00151AE2"/>
    <w:rsid w:val="0016447B"/>
    <w:rsid w:val="00166B35"/>
    <w:rsid w:val="00176EC2"/>
    <w:rsid w:val="001820EE"/>
    <w:rsid w:val="0018677E"/>
    <w:rsid w:val="001A4D3C"/>
    <w:rsid w:val="001B1E33"/>
    <w:rsid w:val="001B61F4"/>
    <w:rsid w:val="001E112C"/>
    <w:rsid w:val="001F389F"/>
    <w:rsid w:val="00213FCA"/>
    <w:rsid w:val="0023548A"/>
    <w:rsid w:val="00240792"/>
    <w:rsid w:val="00247C7C"/>
    <w:rsid w:val="0026243F"/>
    <w:rsid w:val="00267E3E"/>
    <w:rsid w:val="00270C03"/>
    <w:rsid w:val="00281877"/>
    <w:rsid w:val="00284ECB"/>
    <w:rsid w:val="00286CE8"/>
    <w:rsid w:val="0028793B"/>
    <w:rsid w:val="0029158F"/>
    <w:rsid w:val="002A1279"/>
    <w:rsid w:val="002A1571"/>
    <w:rsid w:val="002B0420"/>
    <w:rsid w:val="002B3246"/>
    <w:rsid w:val="002B786A"/>
    <w:rsid w:val="002D3F42"/>
    <w:rsid w:val="002D7C84"/>
    <w:rsid w:val="002E1618"/>
    <w:rsid w:val="002F04F1"/>
    <w:rsid w:val="002F2052"/>
    <w:rsid w:val="002F3949"/>
    <w:rsid w:val="002F774E"/>
    <w:rsid w:val="003040FB"/>
    <w:rsid w:val="00306693"/>
    <w:rsid w:val="003116CD"/>
    <w:rsid w:val="00313750"/>
    <w:rsid w:val="003331F1"/>
    <w:rsid w:val="00341A5C"/>
    <w:rsid w:val="00352DCE"/>
    <w:rsid w:val="00363136"/>
    <w:rsid w:val="00373E95"/>
    <w:rsid w:val="00374A59"/>
    <w:rsid w:val="0038098F"/>
    <w:rsid w:val="00383289"/>
    <w:rsid w:val="00393881"/>
    <w:rsid w:val="00395F12"/>
    <w:rsid w:val="003A3735"/>
    <w:rsid w:val="003E65A0"/>
    <w:rsid w:val="003E69B2"/>
    <w:rsid w:val="003F7302"/>
    <w:rsid w:val="004002E9"/>
    <w:rsid w:val="00403693"/>
    <w:rsid w:val="00403BF3"/>
    <w:rsid w:val="00413037"/>
    <w:rsid w:val="00417283"/>
    <w:rsid w:val="00417BF6"/>
    <w:rsid w:val="00422DE1"/>
    <w:rsid w:val="00422E9A"/>
    <w:rsid w:val="00430AA5"/>
    <w:rsid w:val="00436568"/>
    <w:rsid w:val="004434CE"/>
    <w:rsid w:val="0044480F"/>
    <w:rsid w:val="00460A69"/>
    <w:rsid w:val="00462B77"/>
    <w:rsid w:val="004638B0"/>
    <w:rsid w:val="0046397A"/>
    <w:rsid w:val="0049091E"/>
    <w:rsid w:val="004B085D"/>
    <w:rsid w:val="004B1B9C"/>
    <w:rsid w:val="004B523A"/>
    <w:rsid w:val="004C5255"/>
    <w:rsid w:val="004D621A"/>
    <w:rsid w:val="004D76BB"/>
    <w:rsid w:val="004E0F09"/>
    <w:rsid w:val="004E452D"/>
    <w:rsid w:val="004E5036"/>
    <w:rsid w:val="004F75A9"/>
    <w:rsid w:val="00500A75"/>
    <w:rsid w:val="00514CC3"/>
    <w:rsid w:val="00516BB6"/>
    <w:rsid w:val="00517566"/>
    <w:rsid w:val="005216E5"/>
    <w:rsid w:val="00521B76"/>
    <w:rsid w:val="005354D4"/>
    <w:rsid w:val="00537FD0"/>
    <w:rsid w:val="00545939"/>
    <w:rsid w:val="00546D47"/>
    <w:rsid w:val="0055785B"/>
    <w:rsid w:val="005642D7"/>
    <w:rsid w:val="005707CA"/>
    <w:rsid w:val="00573F01"/>
    <w:rsid w:val="0057573E"/>
    <w:rsid w:val="00581881"/>
    <w:rsid w:val="0058511C"/>
    <w:rsid w:val="0058666C"/>
    <w:rsid w:val="00587C8E"/>
    <w:rsid w:val="005909A1"/>
    <w:rsid w:val="005938B3"/>
    <w:rsid w:val="005938BF"/>
    <w:rsid w:val="00596F25"/>
    <w:rsid w:val="005A05B6"/>
    <w:rsid w:val="005B0511"/>
    <w:rsid w:val="005B4BFC"/>
    <w:rsid w:val="005B6823"/>
    <w:rsid w:val="005C02F2"/>
    <w:rsid w:val="005C2C7D"/>
    <w:rsid w:val="005C3D1C"/>
    <w:rsid w:val="005E3BB5"/>
    <w:rsid w:val="0062719E"/>
    <w:rsid w:val="00627204"/>
    <w:rsid w:val="00630F19"/>
    <w:rsid w:val="00637D1C"/>
    <w:rsid w:val="00663F72"/>
    <w:rsid w:val="006661F4"/>
    <w:rsid w:val="006749C4"/>
    <w:rsid w:val="00675B82"/>
    <w:rsid w:val="0069401C"/>
    <w:rsid w:val="006B2022"/>
    <w:rsid w:val="006B3341"/>
    <w:rsid w:val="006E63B0"/>
    <w:rsid w:val="006E63ED"/>
    <w:rsid w:val="007262FC"/>
    <w:rsid w:val="00727A3D"/>
    <w:rsid w:val="00731588"/>
    <w:rsid w:val="00742304"/>
    <w:rsid w:val="0076317C"/>
    <w:rsid w:val="00764D0E"/>
    <w:rsid w:val="00770E83"/>
    <w:rsid w:val="007A115F"/>
    <w:rsid w:val="007B099D"/>
    <w:rsid w:val="007B2AC8"/>
    <w:rsid w:val="007C290C"/>
    <w:rsid w:val="007C4198"/>
    <w:rsid w:val="007C4E7E"/>
    <w:rsid w:val="007C7DD7"/>
    <w:rsid w:val="007E136B"/>
    <w:rsid w:val="007E4006"/>
    <w:rsid w:val="007F3489"/>
    <w:rsid w:val="007F3D64"/>
    <w:rsid w:val="007F3F83"/>
    <w:rsid w:val="00800513"/>
    <w:rsid w:val="0080742A"/>
    <w:rsid w:val="008106B8"/>
    <w:rsid w:val="0082078E"/>
    <w:rsid w:val="008325CC"/>
    <w:rsid w:val="00836759"/>
    <w:rsid w:val="008439B0"/>
    <w:rsid w:val="008445EF"/>
    <w:rsid w:val="00853087"/>
    <w:rsid w:val="008559C2"/>
    <w:rsid w:val="0085628A"/>
    <w:rsid w:val="00863591"/>
    <w:rsid w:val="00875A05"/>
    <w:rsid w:val="00885A0B"/>
    <w:rsid w:val="008914DC"/>
    <w:rsid w:val="008B1BD4"/>
    <w:rsid w:val="008B2688"/>
    <w:rsid w:val="008B564A"/>
    <w:rsid w:val="008C0128"/>
    <w:rsid w:val="008D59C7"/>
    <w:rsid w:val="008E6375"/>
    <w:rsid w:val="008F4CF2"/>
    <w:rsid w:val="008F4D73"/>
    <w:rsid w:val="009069D6"/>
    <w:rsid w:val="0091497B"/>
    <w:rsid w:val="00944DC6"/>
    <w:rsid w:val="00951444"/>
    <w:rsid w:val="009520C3"/>
    <w:rsid w:val="009644B4"/>
    <w:rsid w:val="00967A69"/>
    <w:rsid w:val="0097351D"/>
    <w:rsid w:val="009906F4"/>
    <w:rsid w:val="009940D4"/>
    <w:rsid w:val="00997B67"/>
    <w:rsid w:val="009A6E98"/>
    <w:rsid w:val="009C78CE"/>
    <w:rsid w:val="00A02551"/>
    <w:rsid w:val="00A0378C"/>
    <w:rsid w:val="00A05DBD"/>
    <w:rsid w:val="00A100EC"/>
    <w:rsid w:val="00A1085C"/>
    <w:rsid w:val="00A12826"/>
    <w:rsid w:val="00A14091"/>
    <w:rsid w:val="00A21B55"/>
    <w:rsid w:val="00A3060E"/>
    <w:rsid w:val="00A377D5"/>
    <w:rsid w:val="00A37C31"/>
    <w:rsid w:val="00A40681"/>
    <w:rsid w:val="00A4646B"/>
    <w:rsid w:val="00A47AB3"/>
    <w:rsid w:val="00A5322B"/>
    <w:rsid w:val="00A53D00"/>
    <w:rsid w:val="00A714B9"/>
    <w:rsid w:val="00A7234D"/>
    <w:rsid w:val="00A837A8"/>
    <w:rsid w:val="00A86429"/>
    <w:rsid w:val="00AB196D"/>
    <w:rsid w:val="00AB23BD"/>
    <w:rsid w:val="00AB37B8"/>
    <w:rsid w:val="00AB7BB8"/>
    <w:rsid w:val="00AC232C"/>
    <w:rsid w:val="00AC3AF2"/>
    <w:rsid w:val="00AD6A8B"/>
    <w:rsid w:val="00AE2D16"/>
    <w:rsid w:val="00AE3055"/>
    <w:rsid w:val="00AE6570"/>
    <w:rsid w:val="00AF17DE"/>
    <w:rsid w:val="00AF52BE"/>
    <w:rsid w:val="00B01792"/>
    <w:rsid w:val="00B16B26"/>
    <w:rsid w:val="00B401AB"/>
    <w:rsid w:val="00B70774"/>
    <w:rsid w:val="00B76CBC"/>
    <w:rsid w:val="00B80A15"/>
    <w:rsid w:val="00B84641"/>
    <w:rsid w:val="00B92DC9"/>
    <w:rsid w:val="00B94DE2"/>
    <w:rsid w:val="00BA15EC"/>
    <w:rsid w:val="00BA6A5E"/>
    <w:rsid w:val="00BA6BA9"/>
    <w:rsid w:val="00BC0288"/>
    <w:rsid w:val="00BC259B"/>
    <w:rsid w:val="00BD1D7F"/>
    <w:rsid w:val="00BD2EB1"/>
    <w:rsid w:val="00BD49AA"/>
    <w:rsid w:val="00BE3865"/>
    <w:rsid w:val="00BE493E"/>
    <w:rsid w:val="00BE6422"/>
    <w:rsid w:val="00BE773B"/>
    <w:rsid w:val="00C12BA4"/>
    <w:rsid w:val="00C13331"/>
    <w:rsid w:val="00C212CF"/>
    <w:rsid w:val="00C346FC"/>
    <w:rsid w:val="00C43053"/>
    <w:rsid w:val="00C442CC"/>
    <w:rsid w:val="00C4450C"/>
    <w:rsid w:val="00C4560B"/>
    <w:rsid w:val="00C503A5"/>
    <w:rsid w:val="00C50E93"/>
    <w:rsid w:val="00C538C7"/>
    <w:rsid w:val="00C54C0C"/>
    <w:rsid w:val="00C63D3C"/>
    <w:rsid w:val="00C66121"/>
    <w:rsid w:val="00C71E9B"/>
    <w:rsid w:val="00C8392A"/>
    <w:rsid w:val="00CC3FC3"/>
    <w:rsid w:val="00CD075C"/>
    <w:rsid w:val="00CD0E5A"/>
    <w:rsid w:val="00CD6A15"/>
    <w:rsid w:val="00CE52E0"/>
    <w:rsid w:val="00CF2510"/>
    <w:rsid w:val="00D030B9"/>
    <w:rsid w:val="00D156ED"/>
    <w:rsid w:val="00D173FB"/>
    <w:rsid w:val="00D26BA2"/>
    <w:rsid w:val="00D327B9"/>
    <w:rsid w:val="00D34CC0"/>
    <w:rsid w:val="00D4360A"/>
    <w:rsid w:val="00D46E9F"/>
    <w:rsid w:val="00D56F4A"/>
    <w:rsid w:val="00D6290D"/>
    <w:rsid w:val="00D6532E"/>
    <w:rsid w:val="00D65D73"/>
    <w:rsid w:val="00D832D4"/>
    <w:rsid w:val="00D874F8"/>
    <w:rsid w:val="00D90DD4"/>
    <w:rsid w:val="00D92CAC"/>
    <w:rsid w:val="00D9382A"/>
    <w:rsid w:val="00D946AD"/>
    <w:rsid w:val="00D94BA5"/>
    <w:rsid w:val="00DA768E"/>
    <w:rsid w:val="00DA76F0"/>
    <w:rsid w:val="00DB1FFA"/>
    <w:rsid w:val="00DC0394"/>
    <w:rsid w:val="00DC631A"/>
    <w:rsid w:val="00DD28FD"/>
    <w:rsid w:val="00DD65B9"/>
    <w:rsid w:val="00DE1001"/>
    <w:rsid w:val="00DE796C"/>
    <w:rsid w:val="00DE7B2A"/>
    <w:rsid w:val="00DF5B73"/>
    <w:rsid w:val="00E11AF6"/>
    <w:rsid w:val="00E254D8"/>
    <w:rsid w:val="00E34E07"/>
    <w:rsid w:val="00E3521E"/>
    <w:rsid w:val="00E622C2"/>
    <w:rsid w:val="00E6348A"/>
    <w:rsid w:val="00E73C97"/>
    <w:rsid w:val="00EB11E7"/>
    <w:rsid w:val="00EB16BB"/>
    <w:rsid w:val="00EB1E7D"/>
    <w:rsid w:val="00EB6B4E"/>
    <w:rsid w:val="00EC0A5B"/>
    <w:rsid w:val="00EC0B49"/>
    <w:rsid w:val="00EC4A73"/>
    <w:rsid w:val="00EC4D0B"/>
    <w:rsid w:val="00EC67E7"/>
    <w:rsid w:val="00F0489C"/>
    <w:rsid w:val="00F17941"/>
    <w:rsid w:val="00F21969"/>
    <w:rsid w:val="00F220B2"/>
    <w:rsid w:val="00F2509C"/>
    <w:rsid w:val="00F401A7"/>
    <w:rsid w:val="00F40EAC"/>
    <w:rsid w:val="00F447FE"/>
    <w:rsid w:val="00F546A2"/>
    <w:rsid w:val="00F63776"/>
    <w:rsid w:val="00F65AA4"/>
    <w:rsid w:val="00F72ED7"/>
    <w:rsid w:val="00F748DD"/>
    <w:rsid w:val="00F749AC"/>
    <w:rsid w:val="00F77461"/>
    <w:rsid w:val="00F941C2"/>
    <w:rsid w:val="00FA49CD"/>
    <w:rsid w:val="00FB3DB9"/>
    <w:rsid w:val="00FB4A28"/>
    <w:rsid w:val="00FB6E59"/>
    <w:rsid w:val="00FC0A5F"/>
    <w:rsid w:val="00FC3ACF"/>
    <w:rsid w:val="00FC712C"/>
    <w:rsid w:val="00FD17B7"/>
    <w:rsid w:val="00FD4418"/>
    <w:rsid w:val="00FD6196"/>
    <w:rsid w:val="00FE2C00"/>
    <w:rsid w:val="00FE6838"/>
    <w:rsid w:val="00FE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 w:type="paragraph" w:styleId="af3">
    <w:name w:val="No Spacing"/>
    <w:uiPriority w:val="1"/>
    <w:qFormat/>
    <w:rsid w:val="00875A05"/>
    <w:pPr>
      <w:spacing w:after="0" w:line="240" w:lineRule="auto"/>
    </w:pPr>
  </w:style>
  <w:style w:type="character" w:styleId="af4">
    <w:name w:val="Hyperlink"/>
    <w:basedOn w:val="a0"/>
    <w:uiPriority w:val="99"/>
    <w:semiHidden/>
    <w:unhideWhenUsed/>
    <w:rsid w:val="00EB16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 w:type="paragraph" w:styleId="af3">
    <w:name w:val="No Spacing"/>
    <w:uiPriority w:val="1"/>
    <w:qFormat/>
    <w:rsid w:val="00875A05"/>
    <w:pPr>
      <w:spacing w:after="0" w:line="240" w:lineRule="auto"/>
    </w:pPr>
  </w:style>
  <w:style w:type="character" w:styleId="af4">
    <w:name w:val="Hyperlink"/>
    <w:basedOn w:val="a0"/>
    <w:uiPriority w:val="99"/>
    <w:semiHidden/>
    <w:unhideWhenUsed/>
    <w:rsid w:val="00EB1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360727">
      <w:bodyDiv w:val="1"/>
      <w:marLeft w:val="0"/>
      <w:marRight w:val="0"/>
      <w:marTop w:val="0"/>
      <w:marBottom w:val="0"/>
      <w:divBdr>
        <w:top w:val="none" w:sz="0" w:space="0" w:color="auto"/>
        <w:left w:val="none" w:sz="0" w:space="0" w:color="auto"/>
        <w:bottom w:val="none" w:sz="0" w:space="0" w:color="auto"/>
        <w:right w:val="none" w:sz="0" w:space="0" w:color="auto"/>
      </w:divBdr>
    </w:div>
    <w:div w:id="20426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408D007B0ACB8B5692D9AF77746E7C440CC63320D5D2B32C5C6F05A37808BFB7B75C0E49BE56F1DC4A5593D1E5306B7DA541463X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08D007B0ACB8B5692D9AF77746E7C440C460300B572B32C5C6F05A37808BFB7B75C0E690B53A5194A30D6944070AA9DD4A1732C1E3C30F64X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98%D0%B4%D0%B5%D0%BD%D1%82%D0%B8%D1%84%D0%B8%D0%BA%D0%B0%D1%86%D0%B8%D0%BE%D0%BD%D0%BD%D1%8B%D0%B9_%D0%BD%D0%BE%D0%BC%D0%B5%D1%80_%D0%BD%D0%B0%D0%BB%D0%BE%D0%B3%D0%BE%D0%BF%D0%BB%D0%B0%D1%82%D0%B5%D0%BB%D1%8C%D1%89%D0%B8%D0%BA%D0%B0" TargetMode="External"/><Relationship Id="rId4" Type="http://schemas.microsoft.com/office/2007/relationships/stylesWithEffects" Target="stylesWithEffects.xml"/><Relationship Id="rId9" Type="http://schemas.openxmlformats.org/officeDocument/2006/relationships/hyperlink" Target="https://ru.wikipedia.org/wiki/%D0%98%D0%B4%D0%B5%D0%BD%D1%82%D0%B8%D1%84%D0%B8%D0%BA%D0%B0%D1%86%D0%B8%D0%BE%D0%BD%D0%BD%D1%8B%D0%B9_%D0%BD%D0%BE%D0%BC%D0%B5%D1%80_%D0%BD%D0%B0%D0%BB%D0%BE%D0%B3%D0%BE%D0%BF%D0%BB%D0%B0%D1%82%D0%B5%D0%BB%D1%8C%D1%89%D0%B8%D0%BA%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AD56F-C52B-4FBA-AD15-9BA5ADAC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 Валерий Дмитриевич</dc:creator>
  <cp:lastModifiedBy>Кондрашова Анна Валерьевна</cp:lastModifiedBy>
  <cp:revision>10</cp:revision>
  <cp:lastPrinted>2021-04-15T11:48:00Z</cp:lastPrinted>
  <dcterms:created xsi:type="dcterms:W3CDTF">2021-03-22T08:35:00Z</dcterms:created>
  <dcterms:modified xsi:type="dcterms:W3CDTF">2021-04-15T11:51:00Z</dcterms:modified>
</cp:coreProperties>
</file>