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0FA0D8" w14:textId="36CB41F9" w:rsidR="008813CB" w:rsidRDefault="006C1FE0" w:rsidP="008813CB">
      <w:pPr>
        <w:spacing w:after="0" w:line="240" w:lineRule="auto"/>
        <w:contextualSpacing/>
        <w:jc w:val="center"/>
        <w:rPr>
          <w:rFonts w:ascii="Times New Roman" w:eastAsia="Times New Roman" w:hAnsi="Times New Roman"/>
          <w:snapToGrid w:val="0"/>
          <w:sz w:val="16"/>
          <w:szCs w:val="16"/>
        </w:rPr>
      </w:pPr>
      <w:bookmarkStart w:id="0" w:name="_GoBack"/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object w:dxaOrig="1440" w:dyaOrig="1440" w14:anchorId="2DFB17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9.6pt;margin-top:-48.15pt;width:501.75pt;height:271.5pt;z-index:-251658240">
            <v:imagedata r:id="rId8" o:title=""/>
          </v:shape>
          <o:OLEObject Type="Embed" ProgID="PBrush" ShapeID="_x0000_s1026" DrawAspect="Content" ObjectID="_1820299171" r:id="rId9"/>
        </w:object>
      </w:r>
      <w:bookmarkEnd w:id="0"/>
      <w:r w:rsidR="007C7B5F" w:rsidRPr="007E75C4">
        <w:rPr>
          <w:noProof/>
          <w:lang w:eastAsia="ru-RU"/>
        </w:rPr>
        <w:drawing>
          <wp:inline distT="0" distB="0" distL="0" distR="0" wp14:anchorId="14CFB13D" wp14:editId="5464B6F2">
            <wp:extent cx="1094105" cy="706120"/>
            <wp:effectExtent l="0" t="0" r="0" b="0"/>
            <wp:docPr id="1" name="Рисунок 2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70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9A40A1" w14:textId="77777777"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/>
          <w:snapToGrid w:val="0"/>
          <w:sz w:val="16"/>
          <w:szCs w:val="16"/>
        </w:rPr>
      </w:pPr>
    </w:p>
    <w:p w14:paraId="2FAE493D" w14:textId="77777777" w:rsidR="008813CB" w:rsidRPr="0049495D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14:paraId="4C3C8074" w14:textId="77777777" w:rsidR="008813CB" w:rsidRPr="0049495D" w:rsidRDefault="008813CB" w:rsidP="008813CB">
      <w:pPr>
        <w:spacing w:line="240" w:lineRule="auto"/>
        <w:jc w:val="center"/>
        <w:rPr>
          <w:rFonts w:ascii="Times New Roman" w:eastAsia="Times New Roman" w:hAnsi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/>
          <w:b/>
          <w:snapToGrid w:val="0"/>
          <w:color w:val="00417E"/>
          <w:sz w:val="36"/>
          <w:szCs w:val="36"/>
        </w:rPr>
        <w:t>КОЛЛЕГИЯ</w:t>
      </w:r>
    </w:p>
    <w:p w14:paraId="4818AD12" w14:textId="4EDBA202" w:rsidR="008813CB" w:rsidRPr="00561B8F" w:rsidRDefault="007C7B5F" w:rsidP="00E216D4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1657216" behindDoc="0" locked="0" layoutInCell="1" allowOverlap="1" wp14:anchorId="7ECF21DC" wp14:editId="66F13719">
                <wp:simplePos x="0" y="0"/>
                <wp:positionH relativeFrom="column">
                  <wp:posOffset>1270</wp:posOffset>
                </wp:positionH>
                <wp:positionV relativeFrom="paragraph">
                  <wp:posOffset>1904</wp:posOffset>
                </wp:positionV>
                <wp:extent cx="5931535" cy="0"/>
                <wp:effectExtent l="0" t="19050" r="12065" b="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53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6A15C12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" strokecolor="#00417e" strokeweight="2.25pt"/>
            </w:pict>
          </mc:Fallback>
        </mc:AlternateContent>
      </w:r>
    </w:p>
    <w:p w14:paraId="75B45797" w14:textId="77777777" w:rsidR="00E216D4" w:rsidRPr="00E216D4" w:rsidRDefault="00E216D4" w:rsidP="00E216D4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14:paraId="229123B5" w14:textId="77777777" w:rsidR="00E216D4" w:rsidRPr="00AA4A4E" w:rsidRDefault="00AA4A4E" w:rsidP="00E216D4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napToGrid w:val="0"/>
          <w:spacing w:val="80"/>
          <w:sz w:val="30"/>
          <w:szCs w:val="30"/>
          <w:lang w:val="en-US"/>
        </w:rPr>
      </w:pPr>
      <w:r>
        <w:rPr>
          <w:rFonts w:ascii="Times New Roman" w:eastAsia="Times New Roman" w:hAnsi="Times New Roman"/>
          <w:b/>
          <w:snapToGrid w:val="0"/>
          <w:spacing w:val="80"/>
          <w:sz w:val="30"/>
          <w:szCs w:val="30"/>
        </w:rPr>
        <w:t>РЕШЕНИЕ</w:t>
      </w:r>
    </w:p>
    <w:p w14:paraId="3513A74E" w14:textId="77777777" w:rsidR="00E216D4" w:rsidRPr="00E216D4" w:rsidRDefault="00E216D4" w:rsidP="00E216D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E216D4" w:rsidRPr="004B41FD" w14:paraId="4A8C5109" w14:textId="77777777" w:rsidTr="00DF1218">
        <w:tc>
          <w:tcPr>
            <w:tcW w:w="3544" w:type="dxa"/>
            <w:shd w:val="clear" w:color="auto" w:fill="auto"/>
          </w:tcPr>
          <w:p w14:paraId="4E0618ED" w14:textId="77777777" w:rsidR="00E216D4" w:rsidRPr="00E216D4" w:rsidRDefault="00094D37" w:rsidP="004B41FD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>«      »                     20     г.</w:t>
            </w:r>
          </w:p>
        </w:tc>
        <w:tc>
          <w:tcPr>
            <w:tcW w:w="2126" w:type="dxa"/>
            <w:shd w:val="clear" w:color="auto" w:fill="auto"/>
          </w:tcPr>
          <w:p w14:paraId="5AF721C6" w14:textId="77777777" w:rsidR="00E216D4" w:rsidRPr="00E216D4" w:rsidRDefault="00094D37" w:rsidP="00094D37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/>
                <w:b/>
                <w:bCs/>
                <w:sz w:val="30"/>
                <w:szCs w:val="30"/>
                <w:lang w:eastAsia="ru-RU"/>
              </w:rPr>
              <w:t xml:space="preserve">         №</w:t>
            </w:r>
          </w:p>
        </w:tc>
        <w:tc>
          <w:tcPr>
            <w:tcW w:w="3793" w:type="dxa"/>
            <w:shd w:val="clear" w:color="auto" w:fill="auto"/>
            <w:vAlign w:val="bottom"/>
          </w:tcPr>
          <w:p w14:paraId="55D7956D" w14:textId="77777777" w:rsidR="00E216D4" w:rsidRPr="00E216D4" w:rsidRDefault="00DF1218" w:rsidP="00DF1218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07"/>
              <w:jc w:val="right"/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DF1218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>г. Москва</w:t>
            </w:r>
          </w:p>
        </w:tc>
      </w:tr>
    </w:tbl>
    <w:p w14:paraId="040DA954" w14:textId="77777777" w:rsidR="00E216D4" w:rsidRPr="00DF19E8" w:rsidRDefault="00E216D4" w:rsidP="00E216D4">
      <w:pPr>
        <w:spacing w:after="0" w:line="312" w:lineRule="auto"/>
        <w:contextualSpacing/>
        <w:rPr>
          <w:rFonts w:ascii="Times New Roman" w:eastAsia="Times New Roman" w:hAnsi="Times New Roman"/>
          <w:snapToGrid w:val="0"/>
          <w:sz w:val="24"/>
          <w:szCs w:val="24"/>
        </w:rPr>
      </w:pPr>
    </w:p>
    <w:p w14:paraId="1B25B3F0" w14:textId="40785F96" w:rsidR="00B61188" w:rsidRDefault="00B61188" w:rsidP="00FB34AA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14:paraId="64F7D2AF" w14:textId="77777777" w:rsidR="00CC240F" w:rsidRPr="00FB34AA" w:rsidRDefault="00CC240F" w:rsidP="00FB34AA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14:paraId="1074CF6A" w14:textId="388B0332" w:rsidR="00FB34AA" w:rsidRPr="00F3092F" w:rsidRDefault="00AA4A4E" w:rsidP="0051491D">
      <w:pPr>
        <w:spacing w:after="0" w:line="240" w:lineRule="auto"/>
        <w:contextualSpacing/>
        <w:jc w:val="center"/>
        <w:rPr>
          <w:rFonts w:ascii="Times New Roman" w:hAnsi="Times New Roman"/>
          <w:b/>
          <w:sz w:val="30"/>
          <w:szCs w:val="30"/>
        </w:rPr>
      </w:pPr>
      <w:bookmarkStart w:id="1" w:name="_Hlk170379079"/>
      <w:bookmarkStart w:id="2" w:name="_Hlk162535664"/>
      <w:r w:rsidRPr="00AA4A4E">
        <w:rPr>
          <w:rFonts w:ascii="Times New Roman" w:hAnsi="Times New Roman"/>
          <w:b/>
          <w:sz w:val="30"/>
          <w:szCs w:val="30"/>
        </w:rPr>
        <w:t>О</w:t>
      </w:r>
      <w:r w:rsidR="000C0861">
        <w:rPr>
          <w:rFonts w:ascii="Times New Roman" w:hAnsi="Times New Roman"/>
          <w:b/>
          <w:sz w:val="30"/>
          <w:szCs w:val="30"/>
        </w:rPr>
        <w:t xml:space="preserve"> </w:t>
      </w:r>
      <w:r w:rsidR="004A1848">
        <w:rPr>
          <w:rFonts w:ascii="Times New Roman" w:hAnsi="Times New Roman"/>
          <w:b/>
          <w:sz w:val="30"/>
          <w:szCs w:val="30"/>
        </w:rPr>
        <w:t>внесении изменени</w:t>
      </w:r>
      <w:r w:rsidR="00D73250">
        <w:rPr>
          <w:rFonts w:ascii="Times New Roman" w:hAnsi="Times New Roman"/>
          <w:b/>
          <w:sz w:val="30"/>
          <w:szCs w:val="30"/>
        </w:rPr>
        <w:t>я</w:t>
      </w:r>
      <w:r w:rsidR="004A1848">
        <w:rPr>
          <w:rFonts w:ascii="Times New Roman" w:hAnsi="Times New Roman"/>
          <w:b/>
          <w:sz w:val="30"/>
          <w:szCs w:val="30"/>
        </w:rPr>
        <w:t xml:space="preserve"> в </w:t>
      </w:r>
      <w:r w:rsidR="00CC240F">
        <w:rPr>
          <w:rFonts w:ascii="Times New Roman" w:hAnsi="Times New Roman"/>
          <w:b/>
          <w:sz w:val="30"/>
          <w:szCs w:val="30"/>
        </w:rPr>
        <w:t>перечень м</w:t>
      </w:r>
      <w:r w:rsidR="005B72DA" w:rsidRPr="00AA4A4E">
        <w:rPr>
          <w:rFonts w:ascii="Times New Roman" w:hAnsi="Times New Roman"/>
          <w:b/>
          <w:sz w:val="30"/>
          <w:szCs w:val="30"/>
        </w:rPr>
        <w:t>етодологи</w:t>
      </w:r>
      <w:r w:rsidR="00CC240F">
        <w:rPr>
          <w:rFonts w:ascii="Times New Roman" w:hAnsi="Times New Roman"/>
          <w:b/>
          <w:sz w:val="30"/>
          <w:szCs w:val="30"/>
        </w:rPr>
        <w:t>й</w:t>
      </w:r>
      <w:r w:rsidR="00D22BFF">
        <w:rPr>
          <w:rFonts w:ascii="Times New Roman" w:hAnsi="Times New Roman"/>
          <w:b/>
          <w:sz w:val="30"/>
          <w:szCs w:val="30"/>
        </w:rPr>
        <w:t xml:space="preserve"> </w:t>
      </w:r>
      <w:r w:rsidRPr="00AA4A4E">
        <w:rPr>
          <w:rFonts w:ascii="Times New Roman" w:hAnsi="Times New Roman"/>
          <w:b/>
          <w:sz w:val="30"/>
          <w:szCs w:val="30"/>
        </w:rPr>
        <w:t xml:space="preserve">формирования </w:t>
      </w:r>
      <w:r w:rsidR="009165D5">
        <w:rPr>
          <w:rFonts w:ascii="Times New Roman" w:hAnsi="Times New Roman"/>
          <w:b/>
          <w:sz w:val="30"/>
          <w:szCs w:val="30"/>
        </w:rPr>
        <w:t xml:space="preserve">официальной статистической информации </w:t>
      </w:r>
      <w:r w:rsidRPr="00AA4A4E">
        <w:rPr>
          <w:rFonts w:ascii="Times New Roman" w:hAnsi="Times New Roman"/>
          <w:b/>
          <w:sz w:val="30"/>
          <w:szCs w:val="30"/>
        </w:rPr>
        <w:t>Ев</w:t>
      </w:r>
      <w:r w:rsidR="00DC0BCB">
        <w:rPr>
          <w:rFonts w:ascii="Times New Roman" w:hAnsi="Times New Roman"/>
          <w:b/>
          <w:sz w:val="30"/>
          <w:szCs w:val="30"/>
        </w:rPr>
        <w:t>разийского экономического союза</w:t>
      </w:r>
      <w:bookmarkEnd w:id="1"/>
      <w:r w:rsidR="00CC240F">
        <w:rPr>
          <w:rFonts w:ascii="Times New Roman" w:hAnsi="Times New Roman"/>
          <w:b/>
          <w:sz w:val="30"/>
          <w:szCs w:val="30"/>
        </w:rPr>
        <w:t xml:space="preserve"> по отдельным показателям</w:t>
      </w:r>
    </w:p>
    <w:bookmarkEnd w:id="2"/>
    <w:p w14:paraId="6C45C516" w14:textId="77777777" w:rsidR="00FB34AA" w:rsidRPr="004B754E" w:rsidRDefault="00FB34AA" w:rsidP="00D44F7D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4BA6C3F1" w14:textId="136140BC" w:rsidR="003138C3" w:rsidRDefault="003138C3" w:rsidP="00D44F7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3138C3">
        <w:rPr>
          <w:rFonts w:ascii="Times New Roman" w:hAnsi="Times New Roman"/>
          <w:sz w:val="30"/>
          <w:szCs w:val="30"/>
        </w:rPr>
        <w:t xml:space="preserve">В соответствии с пунктом </w:t>
      </w:r>
      <w:r w:rsidR="009165D5">
        <w:rPr>
          <w:rFonts w:ascii="Times New Roman" w:hAnsi="Times New Roman"/>
          <w:sz w:val="30"/>
          <w:szCs w:val="30"/>
        </w:rPr>
        <w:t>11</w:t>
      </w:r>
      <w:r w:rsidRPr="003138C3">
        <w:rPr>
          <w:rFonts w:ascii="Times New Roman" w:hAnsi="Times New Roman"/>
          <w:sz w:val="30"/>
          <w:szCs w:val="30"/>
        </w:rPr>
        <w:t xml:space="preserve"> Протокола о порядке формирования </w:t>
      </w:r>
      <w:r w:rsidR="006F29BD">
        <w:rPr>
          <w:rFonts w:ascii="Times New Roman" w:hAnsi="Times New Roman"/>
          <w:sz w:val="30"/>
          <w:szCs w:val="30"/>
        </w:rPr>
        <w:t xml:space="preserve">   </w:t>
      </w:r>
      <w:r w:rsidRPr="003138C3">
        <w:rPr>
          <w:rFonts w:ascii="Times New Roman" w:hAnsi="Times New Roman"/>
          <w:sz w:val="30"/>
          <w:szCs w:val="30"/>
        </w:rPr>
        <w:t>и распространения официальной статистической информации Евразийского экономического союза (приложение № 4 к Договору</w:t>
      </w:r>
      <w:r w:rsidRPr="003138C3">
        <w:rPr>
          <w:rFonts w:ascii="Times New Roman" w:hAnsi="Times New Roman"/>
          <w:sz w:val="30"/>
          <w:szCs w:val="30"/>
        </w:rPr>
        <w:br/>
        <w:t xml:space="preserve">о Евразийском экономическом союзе от 29 мая 2014 года) Коллегия Евразийской экономической комиссии </w:t>
      </w:r>
      <w:r w:rsidRPr="003138C3">
        <w:rPr>
          <w:rFonts w:ascii="Times New Roman" w:hAnsi="Times New Roman"/>
          <w:b/>
          <w:spacing w:val="40"/>
          <w:sz w:val="30"/>
          <w:szCs w:val="30"/>
        </w:rPr>
        <w:t>решил</w:t>
      </w:r>
      <w:r w:rsidRPr="003138C3">
        <w:rPr>
          <w:rFonts w:ascii="Times New Roman" w:hAnsi="Times New Roman"/>
          <w:b/>
          <w:sz w:val="30"/>
          <w:szCs w:val="30"/>
        </w:rPr>
        <w:t>а:</w:t>
      </w:r>
    </w:p>
    <w:p w14:paraId="611334A9" w14:textId="5E7E9AA8" w:rsidR="00CC240F" w:rsidRPr="00CC240F" w:rsidRDefault="007B00A5" w:rsidP="00CC240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1.</w:t>
      </w:r>
      <w:r w:rsidR="006F29BD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 </w:t>
      </w:r>
      <w:r w:rsidR="00E24562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П</w:t>
      </w:r>
      <w:r w:rsidR="00CC240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еречень </w:t>
      </w:r>
      <w:r w:rsidR="00D87444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методологий </w:t>
      </w:r>
      <w:r w:rsidR="00CC240F" w:rsidRPr="00CC240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формирования официальной статистической информации Евразийского экономического союза </w:t>
      </w:r>
      <w:r w:rsidR="006F29BD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           </w:t>
      </w:r>
      <w:r w:rsidR="00CC240F" w:rsidRPr="00CC240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по отдельным показателям </w:t>
      </w:r>
      <w:r w:rsidR="00CC240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(приложение к</w:t>
      </w:r>
      <w:r w:rsidRPr="00DC0BC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Методологи</w:t>
      </w:r>
      <w:r w:rsidR="00CC240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и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формирования официальной статистической информации Евразийского экономического союза</w:t>
      </w:r>
      <w:r w:rsidRPr="00DC0BC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, утвержденн</w:t>
      </w:r>
      <w:r w:rsidR="00CC240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о</w:t>
      </w:r>
      <w:r w:rsidR="00210FD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й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Решением</w:t>
      </w:r>
      <w:r w:rsidRPr="00DC0BC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Коллегии Евразийской экономической комиссии от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  <w:r w:rsidRPr="00DA6938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19 декабря 2023 г</w:t>
      </w:r>
      <w:r w:rsidR="00CC240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.</w:t>
      </w:r>
      <w:r w:rsidRPr="00DA6938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№ 175</w:t>
      </w:r>
      <w:r w:rsidR="00CC240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)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  <w:r w:rsidR="00E24562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дополнить </w:t>
      </w:r>
      <w:r w:rsidR="00CC240F" w:rsidRPr="00CC240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пункт</w:t>
      </w:r>
      <w:r w:rsidR="00E24562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а</w:t>
      </w:r>
      <w:r w:rsidR="00CC240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м</w:t>
      </w:r>
      <w:r w:rsidR="00E24562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и</w:t>
      </w:r>
      <w:r w:rsidR="00CC240F" w:rsidRPr="00CC240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1</w:t>
      </w:r>
      <w:r w:rsidR="00711A65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7 и 18</w:t>
      </w:r>
      <w:r w:rsidR="00CC240F" w:rsidRPr="00CC240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следующе</w:t>
      </w:r>
      <w:r w:rsidR="00CC240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го</w:t>
      </w:r>
      <w:r w:rsidR="00CC240F" w:rsidRPr="00CC240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  <w:r w:rsidR="00CC240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содержания</w:t>
      </w:r>
      <w:r w:rsidR="00CC240F" w:rsidRPr="00CC240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:</w:t>
      </w:r>
    </w:p>
    <w:p w14:paraId="57B7E491" w14:textId="39FFF4C0" w:rsidR="007B00A5" w:rsidRDefault="00D73250" w:rsidP="00CC240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«</w:t>
      </w:r>
      <w:r w:rsidR="00CC240F" w:rsidRPr="00CC240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1</w:t>
      </w:r>
      <w:r w:rsidR="00711A65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7</w:t>
      </w:r>
      <w:r w:rsidR="00CC240F" w:rsidRPr="00CC240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 </w:t>
      </w:r>
      <w:r w:rsidR="00CC240F" w:rsidRPr="00CC240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Методология формирования официальной статистической информации Евразийского экономического союза </w:t>
      </w:r>
      <w:r w:rsidR="00E24562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о взаимных прямых </w:t>
      </w:r>
      <w:r w:rsidR="00711A65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инвестици</w:t>
      </w:r>
      <w:r w:rsidR="00E24562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ях</w:t>
      </w:r>
      <w:r w:rsidR="00711A65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и взаимны</w:t>
      </w:r>
      <w:r w:rsidR="00E24562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х</w:t>
      </w:r>
      <w:r w:rsidR="00711A65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услуг</w:t>
      </w:r>
      <w:r w:rsidR="00E24562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ах.</w:t>
      </w:r>
    </w:p>
    <w:p w14:paraId="0D60A19D" w14:textId="2B5D3BCC" w:rsidR="00711A65" w:rsidRDefault="00711A65" w:rsidP="004F318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CC240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lastRenderedPageBreak/>
        <w:t>1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8</w:t>
      </w:r>
      <w:r w:rsidRPr="00CC240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.</w:t>
      </w:r>
      <w:r w:rsidR="00D73250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 </w:t>
      </w:r>
      <w:r w:rsidRPr="00CC240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Методология формирования официальной статистической </w:t>
      </w:r>
      <w:r w:rsidR="004F3184" w:rsidRPr="004F3184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информации</w:t>
      </w:r>
      <w:r w:rsidR="004F3184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  <w:r w:rsidR="004F3184" w:rsidRPr="004F3184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Евразийского экономического союза</w:t>
      </w:r>
      <w:r w:rsidR="004F3184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  <w:r w:rsidR="004F3184" w:rsidRPr="004F3184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по</w:t>
      </w:r>
      <w:r w:rsidR="004F3184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  <w:r w:rsidR="004F3184" w:rsidRPr="004F3184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расчетным показателям денежно-кредитной </w:t>
      </w:r>
      <w:r w:rsidR="00B33040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ст</w:t>
      </w:r>
      <w:r w:rsidR="00E24562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атистики</w:t>
      </w:r>
      <w:r w:rsidR="001B747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.</w:t>
      </w:r>
      <w:r w:rsidR="00D73250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».</w:t>
      </w:r>
    </w:p>
    <w:p w14:paraId="44C87DB8" w14:textId="77777777" w:rsidR="007B00A5" w:rsidRPr="00417F9F" w:rsidRDefault="007B00A5" w:rsidP="007B00A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2</w:t>
      </w:r>
      <w:r w:rsidRPr="00341970">
        <w:rPr>
          <w:rFonts w:ascii="Times New Roman" w:eastAsia="Times New Roman" w:hAnsi="Times New Roman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/>
          <w:color w:val="FFFFFF"/>
          <w:sz w:val="30"/>
          <w:szCs w:val="30"/>
          <w:lang w:eastAsia="ru-RU"/>
        </w:rPr>
        <w:t> </w:t>
      </w:r>
      <w:r w:rsidRPr="00341970">
        <w:rPr>
          <w:rFonts w:ascii="Times New Roman" w:eastAsia="Times New Roman" w:hAnsi="Times New Roman"/>
          <w:sz w:val="30"/>
          <w:szCs w:val="30"/>
          <w:lang w:eastAsia="ru-RU"/>
        </w:rPr>
        <w:t>Настоящее</w:t>
      </w:r>
      <w:r w:rsidRPr="00DC0BC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Решение вступает в силу по истечении </w:t>
      </w:r>
      <w:r w:rsidRPr="00DC0BC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br/>
        <w:t>30 календарных дней с даты его официального опубликования.</w:t>
      </w:r>
    </w:p>
    <w:p w14:paraId="5A8BDD06" w14:textId="77777777" w:rsidR="00430135" w:rsidRDefault="00430135" w:rsidP="00E216D4">
      <w:pPr>
        <w:spacing w:after="0" w:line="312" w:lineRule="auto"/>
        <w:contextualSpacing/>
        <w:rPr>
          <w:rFonts w:ascii="Times New Roman" w:eastAsia="Times New Roman" w:hAnsi="Times New Roman"/>
          <w:snapToGrid w:val="0"/>
          <w:sz w:val="28"/>
          <w:szCs w:val="28"/>
        </w:rPr>
      </w:pPr>
    </w:p>
    <w:p w14:paraId="42AB1F93" w14:textId="77777777" w:rsidR="00E249F7" w:rsidRPr="00E216D4" w:rsidRDefault="00E249F7" w:rsidP="00E216D4">
      <w:pPr>
        <w:spacing w:after="0" w:line="312" w:lineRule="auto"/>
        <w:contextualSpacing/>
        <w:rPr>
          <w:rFonts w:ascii="Times New Roman" w:eastAsia="Times New Roman" w:hAnsi="Times New Roman"/>
          <w:snapToGrid w:val="0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5"/>
        <w:gridCol w:w="4270"/>
      </w:tblGrid>
      <w:tr w:rsidR="00430135" w:rsidRPr="004B41FD" w14:paraId="36F88558" w14:textId="77777777" w:rsidTr="004B41FD">
        <w:tc>
          <w:tcPr>
            <w:tcW w:w="5196" w:type="dxa"/>
            <w:shd w:val="clear" w:color="auto" w:fill="auto"/>
            <w:hideMark/>
          </w:tcPr>
          <w:p w14:paraId="39E70F90" w14:textId="77777777" w:rsidR="00430135" w:rsidRPr="004B41FD" w:rsidRDefault="00430135" w:rsidP="004B41F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B41FD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14:paraId="704CD3E3" w14:textId="77777777" w:rsidR="00430135" w:rsidRPr="004B41FD" w:rsidRDefault="00430135" w:rsidP="004B41F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4B41FD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74" w:type="dxa"/>
            <w:shd w:val="clear" w:color="auto" w:fill="auto"/>
          </w:tcPr>
          <w:p w14:paraId="4E699DBB" w14:textId="77777777" w:rsidR="00430135" w:rsidRPr="004B41FD" w:rsidRDefault="00430135" w:rsidP="004B41F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  <w:p w14:paraId="44D4E8EC" w14:textId="22407D5A" w:rsidR="00430135" w:rsidRPr="004B41FD" w:rsidRDefault="00A4035F" w:rsidP="004B41FD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Б. </w:t>
            </w:r>
            <w:r w:rsidRPr="00A4035F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Сагинтаев </w:t>
            </w:r>
          </w:p>
        </w:tc>
      </w:tr>
    </w:tbl>
    <w:p w14:paraId="7720521D" w14:textId="77777777" w:rsidR="003138C3" w:rsidRDefault="003138C3" w:rsidP="00944C1D">
      <w:pPr>
        <w:rPr>
          <w:rFonts w:ascii="Times New Roman" w:eastAsia="Times New Roman" w:hAnsi="Times New Roman"/>
          <w:bCs/>
          <w:snapToGrid w:val="0"/>
          <w:sz w:val="28"/>
          <w:szCs w:val="28"/>
          <w:lang w:eastAsia="x-none"/>
        </w:rPr>
      </w:pPr>
    </w:p>
    <w:sectPr w:rsidR="003138C3" w:rsidSect="00D8201E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D01455" w14:textId="77777777" w:rsidR="006C1FE0" w:rsidRDefault="006C1FE0" w:rsidP="00D8201E">
      <w:pPr>
        <w:spacing w:after="0" w:line="240" w:lineRule="auto"/>
      </w:pPr>
      <w:r>
        <w:separator/>
      </w:r>
    </w:p>
  </w:endnote>
  <w:endnote w:type="continuationSeparator" w:id="0">
    <w:p w14:paraId="1CEF5E98" w14:textId="77777777" w:rsidR="006C1FE0" w:rsidRDefault="006C1FE0" w:rsidP="00D82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DA7BAF" w14:textId="77777777" w:rsidR="006C1FE0" w:rsidRDefault="006C1FE0" w:rsidP="00D8201E">
      <w:pPr>
        <w:spacing w:after="0" w:line="240" w:lineRule="auto"/>
      </w:pPr>
      <w:r>
        <w:separator/>
      </w:r>
    </w:p>
  </w:footnote>
  <w:footnote w:type="continuationSeparator" w:id="0">
    <w:p w14:paraId="67DCC355" w14:textId="77777777" w:rsidR="006C1FE0" w:rsidRDefault="006C1FE0" w:rsidP="00D82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E6F6E1" w14:textId="77777777" w:rsidR="00D8201E" w:rsidRDefault="00D8201E">
    <w:pPr>
      <w:pStyle w:val="a7"/>
      <w:jc w:val="center"/>
    </w:pPr>
    <w:r w:rsidRPr="00B1636A">
      <w:rPr>
        <w:rFonts w:ascii="Times New Roman" w:hAnsi="Times New Roman"/>
        <w:sz w:val="30"/>
        <w:szCs w:val="30"/>
      </w:rPr>
      <w:fldChar w:fldCharType="begin"/>
    </w:r>
    <w:r w:rsidRPr="00B1636A">
      <w:rPr>
        <w:rFonts w:ascii="Times New Roman" w:hAnsi="Times New Roman"/>
        <w:sz w:val="30"/>
        <w:szCs w:val="30"/>
      </w:rPr>
      <w:instrText>PAGE   \* MERGEFORMAT</w:instrText>
    </w:r>
    <w:r w:rsidRPr="00B1636A">
      <w:rPr>
        <w:rFonts w:ascii="Times New Roman" w:hAnsi="Times New Roman"/>
        <w:sz w:val="30"/>
        <w:szCs w:val="30"/>
      </w:rPr>
      <w:fldChar w:fldCharType="separate"/>
    </w:r>
    <w:r w:rsidR="00A46127">
      <w:rPr>
        <w:rFonts w:ascii="Times New Roman" w:hAnsi="Times New Roman"/>
        <w:noProof/>
        <w:sz w:val="30"/>
        <w:szCs w:val="30"/>
      </w:rPr>
      <w:t>2</w:t>
    </w:r>
    <w:r w:rsidRPr="00B1636A">
      <w:rPr>
        <w:rFonts w:ascii="Times New Roman" w:hAnsi="Times New Roman"/>
        <w:sz w:val="30"/>
        <w:szCs w:val="30"/>
      </w:rPr>
      <w:fldChar w:fldCharType="end"/>
    </w:r>
  </w:p>
  <w:p w14:paraId="7799E35C" w14:textId="77777777" w:rsidR="00D8201E" w:rsidRDefault="00D8201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1821B0"/>
    <w:multiLevelType w:val="hybridMultilevel"/>
    <w:tmpl w:val="573E3CDC"/>
    <w:lvl w:ilvl="0" w:tplc="9022E87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8081A68"/>
    <w:multiLevelType w:val="hybridMultilevel"/>
    <w:tmpl w:val="3A040DB4"/>
    <w:lvl w:ilvl="0" w:tplc="132CEA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359"/>
    <w:rsid w:val="0001561C"/>
    <w:rsid w:val="000421FC"/>
    <w:rsid w:val="0005638F"/>
    <w:rsid w:val="00065134"/>
    <w:rsid w:val="00076EAF"/>
    <w:rsid w:val="00094D37"/>
    <w:rsid w:val="000A1179"/>
    <w:rsid w:val="000B1B0E"/>
    <w:rsid w:val="000C0861"/>
    <w:rsid w:val="00103F53"/>
    <w:rsid w:val="001160E7"/>
    <w:rsid w:val="001254EB"/>
    <w:rsid w:val="00134922"/>
    <w:rsid w:val="001B747B"/>
    <w:rsid w:val="001D064F"/>
    <w:rsid w:val="001D3FA2"/>
    <w:rsid w:val="001E0EA8"/>
    <w:rsid w:val="001E1C3A"/>
    <w:rsid w:val="001E50C3"/>
    <w:rsid w:val="001E50E5"/>
    <w:rsid w:val="001F0353"/>
    <w:rsid w:val="00210FDB"/>
    <w:rsid w:val="00221BDB"/>
    <w:rsid w:val="00231956"/>
    <w:rsid w:val="002347B3"/>
    <w:rsid w:val="002A4C8F"/>
    <w:rsid w:val="002D4130"/>
    <w:rsid w:val="003068F7"/>
    <w:rsid w:val="003138C3"/>
    <w:rsid w:val="003335F7"/>
    <w:rsid w:val="00340364"/>
    <w:rsid w:val="00341970"/>
    <w:rsid w:val="00353497"/>
    <w:rsid w:val="00355BB1"/>
    <w:rsid w:val="003614BC"/>
    <w:rsid w:val="00370A5D"/>
    <w:rsid w:val="00376A3C"/>
    <w:rsid w:val="00387634"/>
    <w:rsid w:val="003A6C4A"/>
    <w:rsid w:val="003C264C"/>
    <w:rsid w:val="003D0C39"/>
    <w:rsid w:val="003D5D82"/>
    <w:rsid w:val="004149AE"/>
    <w:rsid w:val="00430135"/>
    <w:rsid w:val="00453E81"/>
    <w:rsid w:val="00454EA2"/>
    <w:rsid w:val="0047245B"/>
    <w:rsid w:val="0049765A"/>
    <w:rsid w:val="004A1848"/>
    <w:rsid w:val="004B41FD"/>
    <w:rsid w:val="004B702C"/>
    <w:rsid w:val="004B754E"/>
    <w:rsid w:val="004C4DA8"/>
    <w:rsid w:val="004D18E2"/>
    <w:rsid w:val="004E2795"/>
    <w:rsid w:val="004F3184"/>
    <w:rsid w:val="0051131D"/>
    <w:rsid w:val="0051491D"/>
    <w:rsid w:val="005422ED"/>
    <w:rsid w:val="00553A4C"/>
    <w:rsid w:val="00556C01"/>
    <w:rsid w:val="005B72DA"/>
    <w:rsid w:val="00601DB9"/>
    <w:rsid w:val="0060396C"/>
    <w:rsid w:val="00610C07"/>
    <w:rsid w:val="00611D8C"/>
    <w:rsid w:val="0061273D"/>
    <w:rsid w:val="00636365"/>
    <w:rsid w:val="00641CB1"/>
    <w:rsid w:val="00652BA4"/>
    <w:rsid w:val="006535A4"/>
    <w:rsid w:val="006617CF"/>
    <w:rsid w:val="00663EB4"/>
    <w:rsid w:val="00664F20"/>
    <w:rsid w:val="00683BD9"/>
    <w:rsid w:val="00696249"/>
    <w:rsid w:val="006B475B"/>
    <w:rsid w:val="006C1FE0"/>
    <w:rsid w:val="006E530E"/>
    <w:rsid w:val="006F29BD"/>
    <w:rsid w:val="00711A65"/>
    <w:rsid w:val="00713D90"/>
    <w:rsid w:val="00743D2C"/>
    <w:rsid w:val="0077108F"/>
    <w:rsid w:val="00797E7A"/>
    <w:rsid w:val="007B00A5"/>
    <w:rsid w:val="007B079C"/>
    <w:rsid w:val="007B7814"/>
    <w:rsid w:val="007C2229"/>
    <w:rsid w:val="007C7B5F"/>
    <w:rsid w:val="007F1D34"/>
    <w:rsid w:val="00821E99"/>
    <w:rsid w:val="00826848"/>
    <w:rsid w:val="00844AF6"/>
    <w:rsid w:val="0084751C"/>
    <w:rsid w:val="00847ABA"/>
    <w:rsid w:val="008543A3"/>
    <w:rsid w:val="00861E10"/>
    <w:rsid w:val="008813CB"/>
    <w:rsid w:val="00896FC1"/>
    <w:rsid w:val="008A4E50"/>
    <w:rsid w:val="008F156E"/>
    <w:rsid w:val="008F5428"/>
    <w:rsid w:val="009165D5"/>
    <w:rsid w:val="00916705"/>
    <w:rsid w:val="00944C1D"/>
    <w:rsid w:val="00972359"/>
    <w:rsid w:val="00981945"/>
    <w:rsid w:val="00991986"/>
    <w:rsid w:val="009A497B"/>
    <w:rsid w:val="009F3568"/>
    <w:rsid w:val="00A07948"/>
    <w:rsid w:val="00A176A8"/>
    <w:rsid w:val="00A37011"/>
    <w:rsid w:val="00A4035F"/>
    <w:rsid w:val="00A46127"/>
    <w:rsid w:val="00A6511D"/>
    <w:rsid w:val="00A931E4"/>
    <w:rsid w:val="00AA4A4E"/>
    <w:rsid w:val="00AB400E"/>
    <w:rsid w:val="00AC14E3"/>
    <w:rsid w:val="00AC68EF"/>
    <w:rsid w:val="00AE22A9"/>
    <w:rsid w:val="00AE3B6D"/>
    <w:rsid w:val="00B02EB0"/>
    <w:rsid w:val="00B1636A"/>
    <w:rsid w:val="00B33040"/>
    <w:rsid w:val="00B344E5"/>
    <w:rsid w:val="00B40692"/>
    <w:rsid w:val="00B52E38"/>
    <w:rsid w:val="00B61188"/>
    <w:rsid w:val="00B64953"/>
    <w:rsid w:val="00B71911"/>
    <w:rsid w:val="00B763A7"/>
    <w:rsid w:val="00B81A5E"/>
    <w:rsid w:val="00BA0C93"/>
    <w:rsid w:val="00BA2F2F"/>
    <w:rsid w:val="00BA4B6C"/>
    <w:rsid w:val="00BD15D0"/>
    <w:rsid w:val="00BD21F5"/>
    <w:rsid w:val="00BF402D"/>
    <w:rsid w:val="00C04596"/>
    <w:rsid w:val="00C1721E"/>
    <w:rsid w:val="00C20894"/>
    <w:rsid w:val="00C5144D"/>
    <w:rsid w:val="00C67E60"/>
    <w:rsid w:val="00C805D3"/>
    <w:rsid w:val="00C86F81"/>
    <w:rsid w:val="00CA4DD1"/>
    <w:rsid w:val="00CB7FB3"/>
    <w:rsid w:val="00CC240F"/>
    <w:rsid w:val="00CD145C"/>
    <w:rsid w:val="00D11311"/>
    <w:rsid w:val="00D129F5"/>
    <w:rsid w:val="00D15F08"/>
    <w:rsid w:val="00D22BFF"/>
    <w:rsid w:val="00D25153"/>
    <w:rsid w:val="00D3338D"/>
    <w:rsid w:val="00D44F7D"/>
    <w:rsid w:val="00D73250"/>
    <w:rsid w:val="00D81989"/>
    <w:rsid w:val="00D8201E"/>
    <w:rsid w:val="00D83067"/>
    <w:rsid w:val="00D87444"/>
    <w:rsid w:val="00DA0888"/>
    <w:rsid w:val="00DC0BCB"/>
    <w:rsid w:val="00DC60BE"/>
    <w:rsid w:val="00DE05D3"/>
    <w:rsid w:val="00DF1218"/>
    <w:rsid w:val="00DF19E8"/>
    <w:rsid w:val="00E010FB"/>
    <w:rsid w:val="00E216D4"/>
    <w:rsid w:val="00E24562"/>
    <w:rsid w:val="00E249F7"/>
    <w:rsid w:val="00ED50A3"/>
    <w:rsid w:val="00F165B6"/>
    <w:rsid w:val="00F2331E"/>
    <w:rsid w:val="00F3092F"/>
    <w:rsid w:val="00F34380"/>
    <w:rsid w:val="00F72273"/>
    <w:rsid w:val="00FA5D68"/>
    <w:rsid w:val="00FB34AA"/>
    <w:rsid w:val="00FD7C5D"/>
    <w:rsid w:val="00FE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6649F8F"/>
  <w15:docId w15:val="{1580C177-10EC-41D2-AF36-5D17E8E80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3C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D8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8201E"/>
  </w:style>
  <w:style w:type="paragraph" w:styleId="a9">
    <w:name w:val="footer"/>
    <w:basedOn w:val="a"/>
    <w:link w:val="aa"/>
    <w:uiPriority w:val="99"/>
    <w:unhideWhenUsed/>
    <w:rsid w:val="00D8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8201E"/>
  </w:style>
  <w:style w:type="character" w:styleId="ab">
    <w:name w:val="Hyperlink"/>
    <w:uiPriority w:val="99"/>
    <w:unhideWhenUsed/>
    <w:rsid w:val="00DC0BCB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3138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DDEFD-4B4E-434F-B030-FD83EEC01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Клюева Валерия Сергеевна</dc:creator>
  <cp:keywords/>
  <cp:lastModifiedBy>Рощина Ольга Павловна</cp:lastModifiedBy>
  <cp:revision>2</cp:revision>
  <cp:lastPrinted>2025-08-29T08:47:00Z</cp:lastPrinted>
  <dcterms:created xsi:type="dcterms:W3CDTF">2025-09-25T06:53:00Z</dcterms:created>
  <dcterms:modified xsi:type="dcterms:W3CDTF">2025-09-25T06:53:00Z</dcterms:modified>
</cp:coreProperties>
</file>