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7B" w:rsidRDefault="00D61F7B" w:rsidP="00D61F7B">
      <w:pPr>
        <w:spacing w:after="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D61F7B" w:rsidRDefault="00D61F7B" w:rsidP="00D61F7B">
      <w:pPr>
        <w:spacing w:after="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D61F7B" w:rsidRDefault="00D61F7B" w:rsidP="00D61F7B">
      <w:pPr>
        <w:spacing w:after="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D61F7B" w:rsidRDefault="00D61F7B" w:rsidP="00D61F7B">
      <w:pPr>
        <w:spacing w:after="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D61F7B" w:rsidRDefault="00BC5842" w:rsidP="00D61F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 xml:space="preserve">для проведения публичного обсуждения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FB4C7F" w:rsidRPr="00FB4C7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проекта решения</w:t>
      </w:r>
      <w:r w:rsidR="003800C0" w:rsidRPr="0007235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Совета Евразийской экономической комиссии </w:t>
      </w:r>
    </w:p>
    <w:p w:rsidR="00D61F7B" w:rsidRPr="00D61F7B" w:rsidRDefault="00D61F7B" w:rsidP="00D61F7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«</w:t>
      </w:r>
      <w:r w:rsidRPr="006C246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Об утверждении правил определения происхождения товаров  из развивающихся и наименее развитых стран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»</w:t>
      </w:r>
    </w:p>
    <w:p w:rsidR="00D61F7B" w:rsidRDefault="00D61F7B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61F7B" w:rsidRDefault="00D61F7B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61F7B" w:rsidRDefault="00BC5842" w:rsidP="004460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</w:p>
    <w:p w:rsidR="00C73078" w:rsidRPr="00D61F7B" w:rsidRDefault="00D61F7B" w:rsidP="00122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r w:rsidRPr="00D61F7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«</w:t>
      </w:r>
      <w:r w:rsidRPr="00D61F7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Об утверждении правил определения происхождения товаров  из развивающихся и наименее развитых стран»</w:t>
      </w:r>
    </w:p>
    <w:bookmarkEnd w:id="0"/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74847" w:rsidRDefault="005131A2" w:rsidP="005050DE">
            <w:pPr>
              <w:ind w:left="-108" w:right="-57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Начало</w:t>
            </w:r>
            <w:r w:rsidR="00BC5842" w:rsidRPr="00474847">
              <w:rPr>
                <w:sz w:val="25"/>
                <w:szCs w:val="25"/>
                <w:lang w:eastAsia="x-none"/>
              </w:rPr>
              <w:t>: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A0290F">
              <w:rPr>
                <w:sz w:val="25"/>
                <w:szCs w:val="25"/>
                <w:lang w:eastAsia="x-none"/>
              </w:rPr>
              <w:t>20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»</w:t>
            </w:r>
            <w:r w:rsidR="00BC5842" w:rsidRPr="00474847">
              <w:rPr>
                <w:sz w:val="25"/>
                <w:szCs w:val="25"/>
                <w:lang w:eastAsia="x-none"/>
              </w:rPr>
              <w:t xml:space="preserve"> </w:t>
            </w:r>
            <w:r w:rsidR="00D61F7B">
              <w:rPr>
                <w:sz w:val="25"/>
                <w:szCs w:val="25"/>
                <w:lang w:eastAsia="x-none"/>
              </w:rPr>
              <w:t>сентября</w:t>
            </w:r>
            <w:r w:rsidR="00662E9E" w:rsidRPr="00474847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20</w:t>
            </w:r>
            <w:r w:rsidR="00516908" w:rsidRPr="00474847">
              <w:rPr>
                <w:sz w:val="25"/>
                <w:szCs w:val="25"/>
                <w:lang w:eastAsia="x-none"/>
              </w:rPr>
              <w:t>1</w:t>
            </w:r>
            <w:r w:rsidR="00D61F7B">
              <w:rPr>
                <w:sz w:val="25"/>
                <w:szCs w:val="25"/>
                <w:lang w:eastAsia="x-none"/>
              </w:rPr>
              <w:t>7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6F3783" w:rsidP="00A0290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474847">
              <w:rPr>
                <w:sz w:val="25"/>
                <w:szCs w:val="25"/>
                <w:lang w:eastAsia="x-none"/>
              </w:rPr>
              <w:t>Окончание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: «</w:t>
            </w:r>
            <w:r w:rsidR="00A0290F">
              <w:rPr>
                <w:sz w:val="25"/>
                <w:szCs w:val="25"/>
                <w:lang w:eastAsia="x-none"/>
              </w:rPr>
              <w:t>20»</w:t>
            </w:r>
            <w:r w:rsidR="00BC5842" w:rsidRPr="00474847">
              <w:rPr>
                <w:sz w:val="25"/>
                <w:szCs w:val="25"/>
                <w:lang w:eastAsia="x-none"/>
              </w:rPr>
              <w:t xml:space="preserve"> </w:t>
            </w:r>
            <w:r w:rsidR="00D61F7B">
              <w:rPr>
                <w:sz w:val="25"/>
                <w:szCs w:val="25"/>
                <w:lang w:eastAsia="x-none"/>
              </w:rPr>
              <w:t xml:space="preserve">октября </w:t>
            </w:r>
            <w:r w:rsidR="00BC5842" w:rsidRPr="00474847">
              <w:rPr>
                <w:sz w:val="25"/>
                <w:szCs w:val="25"/>
                <w:lang w:val="x-none" w:eastAsia="x-none"/>
              </w:rPr>
              <w:t>20</w:t>
            </w:r>
            <w:r w:rsidR="00516908" w:rsidRPr="00474847">
              <w:rPr>
                <w:sz w:val="25"/>
                <w:szCs w:val="25"/>
                <w:lang w:eastAsia="x-none"/>
              </w:rPr>
              <w:t>1</w:t>
            </w:r>
            <w:r w:rsidR="00D61F7B">
              <w:rPr>
                <w:sz w:val="25"/>
                <w:szCs w:val="25"/>
                <w:lang w:eastAsia="x-none"/>
              </w:rPr>
              <w:t>7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6096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F56E92" w:rsidRPr="003C7E7C" w:rsidRDefault="00F56E9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3C7E7C">
              <w:rPr>
                <w:sz w:val="25"/>
                <w:szCs w:val="25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</w:p>
          <w:p w:rsidR="00BC5842" w:rsidRPr="003C7E7C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  <w:lang w:val="x-none" w:eastAsia="x-none"/>
              </w:rPr>
            </w:pPr>
            <w:r w:rsidRPr="003C7E7C">
              <w:rPr>
                <w:sz w:val="25"/>
                <w:szCs w:val="25"/>
                <w:u w:val="single"/>
              </w:rPr>
              <w:t>на электронную по</w:t>
            </w:r>
            <w:r w:rsidR="00DB75DF" w:rsidRPr="003C7E7C">
              <w:rPr>
                <w:sz w:val="25"/>
                <w:szCs w:val="25"/>
                <w:u w:val="single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662E9E">
              <w:rPr>
                <w:sz w:val="25"/>
                <w:szCs w:val="25"/>
                <w:u w:val="single"/>
              </w:rPr>
              <w:t>Бурков Сергей Вячеславович</w:t>
            </w:r>
          </w:p>
          <w:p w:rsidR="00BC5842" w:rsidRPr="00662E9E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DE46DF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662E9E" w:rsidRPr="00662E9E">
              <w:rPr>
                <w:sz w:val="25"/>
                <w:szCs w:val="25"/>
                <w:u w:val="single"/>
              </w:rPr>
              <w:t xml:space="preserve">советник </w:t>
            </w:r>
            <w:r w:rsidR="009F644C" w:rsidRPr="00662E9E">
              <w:rPr>
                <w:sz w:val="25"/>
                <w:szCs w:val="25"/>
                <w:u w:val="single"/>
              </w:rPr>
              <w:t xml:space="preserve">Департамента </w:t>
            </w:r>
            <w:r w:rsidR="00662E9E" w:rsidRPr="00662E9E">
              <w:rPr>
                <w:sz w:val="25"/>
                <w:szCs w:val="25"/>
                <w:u w:val="single"/>
              </w:rPr>
              <w:t>торговой политики</w:t>
            </w:r>
          </w:p>
          <w:p w:rsidR="00BC5842" w:rsidRPr="00037A03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2345C">
              <w:rPr>
                <w:sz w:val="25"/>
                <w:szCs w:val="25"/>
              </w:rPr>
              <w:t xml:space="preserve">: </w:t>
            </w:r>
            <w:r w:rsidR="00662E9E" w:rsidRPr="00662E9E">
              <w:rPr>
                <w:sz w:val="25"/>
                <w:szCs w:val="25"/>
                <w:u w:val="single"/>
                <w:lang w:val="en-US"/>
              </w:rPr>
              <w:t>burkov</w:t>
            </w:r>
            <w:r w:rsidR="009F644C" w:rsidRPr="00662E9E">
              <w:rPr>
                <w:sz w:val="25"/>
                <w:szCs w:val="25"/>
                <w:u w:val="single"/>
              </w:rPr>
              <w:t>@eecommission.org</w:t>
            </w:r>
          </w:p>
          <w:p w:rsidR="00BC5842" w:rsidRPr="00037A03" w:rsidRDefault="00037A03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Телефон:  </w:t>
            </w:r>
            <w:r w:rsidR="009F644C" w:rsidRPr="00037A03">
              <w:rPr>
                <w:sz w:val="26"/>
                <w:szCs w:val="26"/>
                <w:u w:val="single"/>
              </w:rPr>
              <w:t>+7(495)669-24-00</w:t>
            </w:r>
            <w:r w:rsidR="00D61F7B">
              <w:rPr>
                <w:sz w:val="26"/>
                <w:szCs w:val="26"/>
                <w:u w:val="single"/>
              </w:rPr>
              <w:t xml:space="preserve"> </w:t>
            </w:r>
            <w:r w:rsidR="009F644C" w:rsidRPr="00037A03">
              <w:rPr>
                <w:sz w:val="26"/>
                <w:szCs w:val="26"/>
                <w:u w:val="single"/>
              </w:rPr>
              <w:t xml:space="preserve">(доб. </w:t>
            </w:r>
            <w:r w:rsidR="00662E9E">
              <w:rPr>
                <w:sz w:val="26"/>
                <w:szCs w:val="26"/>
                <w:u w:val="single"/>
              </w:rPr>
              <w:t>4</w:t>
            </w:r>
            <w:r w:rsidR="00662E9E" w:rsidRPr="00662E9E">
              <w:rPr>
                <w:sz w:val="26"/>
                <w:szCs w:val="26"/>
                <w:u w:val="single"/>
              </w:rPr>
              <w:t>9</w:t>
            </w:r>
            <w:r w:rsidR="00D61F7B">
              <w:rPr>
                <w:sz w:val="26"/>
                <w:szCs w:val="26"/>
                <w:u w:val="single"/>
              </w:rPr>
              <w:t>-</w:t>
            </w:r>
            <w:r w:rsidR="00662E9E" w:rsidRPr="00662E9E">
              <w:rPr>
                <w:sz w:val="26"/>
                <w:szCs w:val="26"/>
                <w:u w:val="single"/>
              </w:rPr>
              <w:t>28</w:t>
            </w:r>
            <w:r w:rsidR="009F644C" w:rsidRPr="00037A03">
              <w:rPr>
                <w:sz w:val="26"/>
                <w:szCs w:val="26"/>
                <w:u w:val="single"/>
              </w:rPr>
              <w:t>)</w:t>
            </w:r>
            <w:r w:rsidR="00D61F7B">
              <w:rPr>
                <w:sz w:val="26"/>
                <w:szCs w:val="26"/>
                <w:u w:val="single"/>
              </w:rPr>
              <w:t xml:space="preserve">   </w:t>
            </w:r>
          </w:p>
          <w:p w:rsidR="0062345C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7A03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="0062345C">
              <w:rPr>
                <w:bCs/>
                <w:kern w:val="32"/>
                <w:sz w:val="26"/>
                <w:szCs w:val="26"/>
                <w:lang w:eastAsia="x-none"/>
              </w:rPr>
              <w:t xml:space="preserve">: </w:t>
            </w:r>
          </w:p>
          <w:p w:rsidR="003278EE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4748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62345C" w:rsidRDefault="0062345C" w:rsidP="0062345C">
            <w:pPr>
              <w:pStyle w:val="ab"/>
              <w:spacing w:line="240" w:lineRule="auto"/>
              <w:ind w:left="170"/>
              <w:rPr>
                <w:color w:val="000000"/>
                <w:sz w:val="26"/>
                <w:szCs w:val="26"/>
                <w:u w:val="single"/>
              </w:rPr>
            </w:pPr>
            <w:r w:rsidRPr="00CC695D">
              <w:rPr>
                <w:bCs/>
                <w:kern w:val="32"/>
                <w:sz w:val="26"/>
                <w:szCs w:val="26"/>
              </w:rPr>
              <w:t>П</w:t>
            </w:r>
            <w:r>
              <w:rPr>
                <w:bCs/>
                <w:kern w:val="32"/>
                <w:sz w:val="26"/>
                <w:szCs w:val="26"/>
              </w:rPr>
              <w:t xml:space="preserve">очтовый адрес (адрес эл. почты) </w:t>
            </w:r>
            <w:r w:rsidRPr="00CC695D">
              <w:rPr>
                <w:bCs/>
                <w:kern w:val="32"/>
                <w:sz w:val="26"/>
                <w:szCs w:val="26"/>
              </w:rPr>
              <w:t xml:space="preserve">для направления участниками публичного обсуждения заполненных опросных листов: </w:t>
            </w:r>
            <w:r w:rsidRPr="00CC695D">
              <w:rPr>
                <w:color w:val="000000"/>
                <w:sz w:val="26"/>
                <w:szCs w:val="26"/>
                <w:u w:val="single"/>
              </w:rPr>
              <w:t>119121, г. Москва, Смоленский бульвар, д.3/5, стр. 1</w:t>
            </w:r>
          </w:p>
          <w:p w:rsidR="0062345C" w:rsidRDefault="0062345C" w:rsidP="0062345C">
            <w:pPr>
              <w:pStyle w:val="ab"/>
              <w:spacing w:line="240" w:lineRule="auto"/>
              <w:ind w:left="170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(</w:t>
            </w:r>
            <w:r w:rsidRPr="00AB0A30">
              <w:rPr>
                <w:sz w:val="26"/>
                <w:szCs w:val="26"/>
              </w:rPr>
              <w:t>burkov@eecommission.org</w:t>
            </w:r>
            <w:r>
              <w:rPr>
                <w:sz w:val="26"/>
                <w:szCs w:val="26"/>
              </w:rPr>
              <w:t>)</w:t>
            </w:r>
            <w:r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:rsidR="0062345C" w:rsidRDefault="0062345C" w:rsidP="003278EE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</w:p>
          <w:p w:rsidR="0062345C" w:rsidRPr="003278EE" w:rsidRDefault="0062345C" w:rsidP="003278EE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FB" w:rsidRDefault="00D977FB" w:rsidP="005029A2">
      <w:pPr>
        <w:spacing w:after="0" w:line="240" w:lineRule="auto"/>
      </w:pPr>
      <w:r>
        <w:separator/>
      </w:r>
    </w:p>
  </w:endnote>
  <w:endnote w:type="continuationSeparator" w:id="0">
    <w:p w:rsidR="00D977FB" w:rsidRDefault="00D977FB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FB" w:rsidRDefault="00D977FB" w:rsidP="005029A2">
      <w:pPr>
        <w:spacing w:after="0" w:line="240" w:lineRule="auto"/>
      </w:pPr>
      <w:r>
        <w:separator/>
      </w:r>
    </w:p>
  </w:footnote>
  <w:footnote w:type="continuationSeparator" w:id="0">
    <w:p w:rsidR="00D977FB" w:rsidRDefault="00D977FB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454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481C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2E12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E6BD5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55A"/>
    <w:rsid w:val="00336513"/>
    <w:rsid w:val="00336808"/>
    <w:rsid w:val="003419F1"/>
    <w:rsid w:val="00342F3E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4C0D"/>
    <w:rsid w:val="00466CB3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43D6"/>
    <w:rsid w:val="00615F76"/>
    <w:rsid w:val="00620D38"/>
    <w:rsid w:val="00620FB0"/>
    <w:rsid w:val="0062345C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05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290F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39C0"/>
    <w:rsid w:val="00C66A3E"/>
    <w:rsid w:val="00C73078"/>
    <w:rsid w:val="00C7454C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1F7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977F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62345C"/>
    <w:rPr>
      <w:color w:val="0000FF" w:themeColor="hyperlink"/>
      <w:u w:val="single"/>
    </w:rPr>
  </w:style>
  <w:style w:type="paragraph" w:customStyle="1" w:styleId="ab">
    <w:name w:val="Таблица"/>
    <w:basedOn w:val="a"/>
    <w:qFormat/>
    <w:rsid w:val="0062345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62345C"/>
    <w:rPr>
      <w:color w:val="0000FF" w:themeColor="hyperlink"/>
      <w:u w:val="single"/>
    </w:rPr>
  </w:style>
  <w:style w:type="paragraph" w:customStyle="1" w:styleId="ab">
    <w:name w:val="Таблица"/>
    <w:basedOn w:val="a"/>
    <w:qFormat/>
    <w:rsid w:val="0062345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FC07A6-A63C-442D-AAA5-65051BC3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Назаренко Александра Игоревна</cp:lastModifiedBy>
  <cp:revision>25</cp:revision>
  <cp:lastPrinted>2015-07-23T15:49:00Z</cp:lastPrinted>
  <dcterms:created xsi:type="dcterms:W3CDTF">2017-09-14T15:05:00Z</dcterms:created>
  <dcterms:modified xsi:type="dcterms:W3CDTF">2017-09-20T15:10:00Z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