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42" w:rsidRPr="00A72324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72324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72324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72324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72324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72324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A72324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A72324" w:rsidRDefault="00BC5842" w:rsidP="009A37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7232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C05A6" w:rsidRPr="00A72324">
        <w:rPr>
          <w:rFonts w:ascii="Times New Roman" w:hAnsi="Times New Roman"/>
          <w:sz w:val="30"/>
          <w:szCs w:val="30"/>
          <w:u w:val="single"/>
        </w:rPr>
        <w:t>«</w:t>
      </w:r>
      <w:r w:rsidR="00B26CFD" w:rsidRPr="00A72324">
        <w:rPr>
          <w:rFonts w:ascii="Times New Roman" w:hAnsi="Times New Roman"/>
          <w:sz w:val="30"/>
          <w:szCs w:val="30"/>
          <w:u w:val="single"/>
        </w:rPr>
        <w:t>О внесении изменений в Порядок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</w:t>
      </w:r>
      <w:r w:rsidR="000C05A6" w:rsidRPr="00A72324">
        <w:rPr>
          <w:rFonts w:ascii="Times New Roman" w:hAnsi="Times New Roman"/>
          <w:sz w:val="30"/>
          <w:szCs w:val="30"/>
          <w:u w:val="single"/>
        </w:rPr>
        <w:t>»</w:t>
      </w:r>
    </w:p>
    <w:p w:rsidR="00BC5842" w:rsidRPr="00A72324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A72324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A7232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A7232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A7232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A7232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A7232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1034F9" w:rsidRPr="00A72324" w:rsidTr="00516908">
        <w:tc>
          <w:tcPr>
            <w:tcW w:w="3578" w:type="dxa"/>
          </w:tcPr>
          <w:p w:rsidR="00BC5842" w:rsidRPr="00A7232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A7232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A7232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A7232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A72324">
              <w:rPr>
                <w:sz w:val="25"/>
                <w:szCs w:val="25"/>
                <w:lang w:val="x-none" w:eastAsia="x-none"/>
              </w:rPr>
              <w:t>Начало</w:t>
            </w:r>
            <w:r w:rsidRPr="00A72324">
              <w:rPr>
                <w:sz w:val="25"/>
                <w:szCs w:val="25"/>
                <w:lang w:eastAsia="x-none"/>
              </w:rPr>
              <w:t>:</w:t>
            </w:r>
            <w:r w:rsidRPr="00A72324">
              <w:rPr>
                <w:sz w:val="25"/>
                <w:szCs w:val="25"/>
                <w:lang w:val="x-none" w:eastAsia="x-none"/>
              </w:rPr>
              <w:t xml:space="preserve"> «</w:t>
            </w:r>
            <w:r w:rsidR="001F3BC7" w:rsidRPr="00A72324">
              <w:rPr>
                <w:sz w:val="25"/>
                <w:szCs w:val="25"/>
                <w:lang w:eastAsia="x-none"/>
              </w:rPr>
              <w:t>09</w:t>
            </w:r>
            <w:r w:rsidRPr="00A72324">
              <w:rPr>
                <w:sz w:val="25"/>
                <w:szCs w:val="25"/>
                <w:lang w:val="x-none" w:eastAsia="x-none"/>
              </w:rPr>
              <w:t>»</w:t>
            </w:r>
            <w:r w:rsidR="009A37C2" w:rsidRPr="00A72324">
              <w:rPr>
                <w:sz w:val="25"/>
                <w:szCs w:val="25"/>
                <w:lang w:eastAsia="x-none"/>
              </w:rPr>
              <w:t xml:space="preserve"> </w:t>
            </w:r>
            <w:r w:rsidR="00B26CFD" w:rsidRPr="00A72324">
              <w:rPr>
                <w:sz w:val="25"/>
                <w:szCs w:val="25"/>
                <w:lang w:eastAsia="x-none"/>
              </w:rPr>
              <w:t>октября</w:t>
            </w:r>
            <w:r w:rsidR="00916266" w:rsidRPr="00A72324">
              <w:rPr>
                <w:sz w:val="25"/>
                <w:szCs w:val="25"/>
                <w:lang w:eastAsia="x-none"/>
              </w:rPr>
              <w:t xml:space="preserve"> </w:t>
            </w:r>
            <w:r w:rsidR="0046346C" w:rsidRPr="00A72324">
              <w:rPr>
                <w:sz w:val="25"/>
                <w:szCs w:val="25"/>
                <w:lang w:eastAsia="x-none"/>
              </w:rPr>
              <w:t>202</w:t>
            </w:r>
            <w:r w:rsidR="00B26CFD" w:rsidRPr="00A72324">
              <w:rPr>
                <w:sz w:val="25"/>
                <w:szCs w:val="25"/>
                <w:lang w:eastAsia="x-none"/>
              </w:rPr>
              <w:t>5</w:t>
            </w:r>
            <w:r w:rsidR="00A1198B" w:rsidRPr="00A72324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A72324">
              <w:rPr>
                <w:sz w:val="25"/>
                <w:szCs w:val="25"/>
                <w:lang w:eastAsia="x-none"/>
              </w:rPr>
              <w:t>г.</w:t>
            </w:r>
          </w:p>
          <w:p w:rsidR="00BC5842" w:rsidRPr="00A72324" w:rsidRDefault="00BD07C4" w:rsidP="001F3BC7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A72324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A7232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CB1E4D" w:rsidRPr="00A72324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r w:rsidR="001F3BC7" w:rsidRPr="00A72324">
              <w:rPr>
                <w:spacing w:val="-4"/>
                <w:kern w:val="25"/>
                <w:sz w:val="25"/>
                <w:szCs w:val="25"/>
                <w:lang w:eastAsia="x-none"/>
              </w:rPr>
              <w:t>8</w:t>
            </w:r>
            <w:r w:rsidR="00366180" w:rsidRPr="00A72324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 w:rsidRPr="00A7232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26CFD" w:rsidRPr="00A72324">
              <w:rPr>
                <w:spacing w:val="-4"/>
                <w:kern w:val="25"/>
                <w:sz w:val="25"/>
                <w:szCs w:val="25"/>
                <w:lang w:eastAsia="x-none"/>
              </w:rPr>
              <w:t>ноября</w:t>
            </w:r>
            <w:r w:rsidR="00DE7F6B" w:rsidRPr="00A7232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6346C" w:rsidRPr="00A72324">
              <w:rPr>
                <w:spacing w:val="-4"/>
                <w:kern w:val="25"/>
                <w:sz w:val="25"/>
                <w:szCs w:val="25"/>
                <w:lang w:eastAsia="x-none"/>
              </w:rPr>
              <w:t>202</w:t>
            </w:r>
            <w:r w:rsidR="00B26CFD" w:rsidRPr="00A72324">
              <w:rPr>
                <w:spacing w:val="-4"/>
                <w:kern w:val="25"/>
                <w:sz w:val="25"/>
                <w:szCs w:val="25"/>
                <w:lang w:eastAsia="x-none"/>
              </w:rPr>
              <w:t>5</w:t>
            </w:r>
            <w:r w:rsidR="00516908" w:rsidRPr="00A7232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A72324" w:rsidRDefault="00BC5842" w:rsidP="00BC5842">
            <w:pPr>
              <w:ind w:left="170"/>
              <w:jc w:val="both"/>
            </w:pPr>
            <w:r w:rsidRPr="00A7232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A72324">
              <w:t xml:space="preserve"> </w:t>
            </w:r>
          </w:p>
          <w:p w:rsidR="00BC5842" w:rsidRPr="00A7232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A72324">
              <w:rPr>
                <w:sz w:val="25"/>
                <w:szCs w:val="25"/>
              </w:rPr>
              <w:t>почтой по адресу</w:t>
            </w:r>
            <w:r w:rsidRPr="00A72324">
              <w:t xml:space="preserve"> </w:t>
            </w:r>
            <w:r w:rsidRPr="00A7232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A72324">
              <w:rPr>
                <w:sz w:val="25"/>
                <w:szCs w:val="25"/>
              </w:rPr>
              <w:t>Летниковская</w:t>
            </w:r>
            <w:proofErr w:type="spellEnd"/>
            <w:r w:rsidRPr="00A72324">
              <w:rPr>
                <w:sz w:val="25"/>
                <w:szCs w:val="25"/>
              </w:rPr>
              <w:t>, д. 2, стр. 1, стр. 2., на электронную по</w:t>
            </w:r>
            <w:r w:rsidR="00DB75DF" w:rsidRPr="00A72324">
              <w:rPr>
                <w:sz w:val="25"/>
                <w:szCs w:val="25"/>
              </w:rPr>
              <w:t>чту.</w:t>
            </w:r>
          </w:p>
          <w:p w:rsidR="00BC5842" w:rsidRPr="00A7232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A7232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A72324">
              <w:rPr>
                <w:sz w:val="25"/>
                <w:szCs w:val="25"/>
              </w:rPr>
              <w:t>ый</w:t>
            </w:r>
            <w:r w:rsidRPr="00A7232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217D1C" w:rsidRPr="00A7232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A72324">
              <w:rPr>
                <w:sz w:val="25"/>
                <w:szCs w:val="25"/>
              </w:rPr>
              <w:t xml:space="preserve">Фамилия, имя, отчество </w:t>
            </w:r>
            <w:r w:rsidR="00B26CFD" w:rsidRPr="00A72324">
              <w:rPr>
                <w:sz w:val="25"/>
                <w:szCs w:val="25"/>
                <w:u w:val="single"/>
              </w:rPr>
              <w:t>Е</w:t>
            </w:r>
            <w:r w:rsidR="00664BCA" w:rsidRPr="00A72324">
              <w:rPr>
                <w:sz w:val="25"/>
                <w:szCs w:val="25"/>
                <w:u w:val="single"/>
              </w:rPr>
              <w:t>.</w:t>
            </w:r>
            <w:r w:rsidR="00B26CFD" w:rsidRPr="00A72324">
              <w:rPr>
                <w:sz w:val="25"/>
                <w:szCs w:val="25"/>
                <w:u w:val="single"/>
              </w:rPr>
              <w:t>В</w:t>
            </w:r>
            <w:r w:rsidR="00664BCA" w:rsidRPr="00A72324">
              <w:rPr>
                <w:sz w:val="25"/>
                <w:szCs w:val="25"/>
                <w:u w:val="single"/>
              </w:rPr>
              <w:t>. </w:t>
            </w:r>
            <w:r w:rsidR="00B26CFD" w:rsidRPr="00A72324">
              <w:rPr>
                <w:sz w:val="25"/>
                <w:szCs w:val="25"/>
                <w:u w:val="single"/>
              </w:rPr>
              <w:t>Бережных</w:t>
            </w:r>
          </w:p>
          <w:p w:rsidR="00BC5842" w:rsidRPr="00A7232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A72324">
              <w:rPr>
                <w:sz w:val="25"/>
                <w:szCs w:val="25"/>
              </w:rPr>
              <w:t xml:space="preserve">Должность </w:t>
            </w:r>
            <w:r w:rsidR="008561A5" w:rsidRPr="00A72324">
              <w:rPr>
                <w:sz w:val="25"/>
                <w:szCs w:val="25"/>
                <w:u w:val="single"/>
              </w:rPr>
              <w:t>Заместитель д</w:t>
            </w:r>
            <w:r w:rsidR="009F644C" w:rsidRPr="00A72324">
              <w:rPr>
                <w:sz w:val="25"/>
                <w:szCs w:val="25"/>
                <w:u w:val="single"/>
              </w:rPr>
              <w:t>иректор</w:t>
            </w:r>
            <w:r w:rsidR="008561A5" w:rsidRPr="00A72324">
              <w:rPr>
                <w:sz w:val="25"/>
                <w:szCs w:val="25"/>
                <w:u w:val="single"/>
              </w:rPr>
              <w:t>а</w:t>
            </w:r>
            <w:r w:rsidR="009F644C" w:rsidRPr="00A72324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A7232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A7232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A72324">
              <w:rPr>
                <w:sz w:val="25"/>
                <w:szCs w:val="25"/>
              </w:rPr>
              <w:t>dept_techregulation@eecommission.org.</w:t>
            </w:r>
          </w:p>
          <w:p w:rsidR="00BC5842" w:rsidRPr="00A7232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A72324">
              <w:rPr>
                <w:sz w:val="26"/>
                <w:szCs w:val="26"/>
              </w:rPr>
              <w:t>Телефон _____</w:t>
            </w:r>
            <w:r w:rsidR="009F644C" w:rsidRPr="00A72324">
              <w:rPr>
                <w:sz w:val="26"/>
                <w:szCs w:val="26"/>
                <w:u w:val="single"/>
              </w:rPr>
              <w:t xml:space="preserve">+7(495)669-24-00 (доб. </w:t>
            </w:r>
            <w:proofErr w:type="gramStart"/>
            <w:r w:rsidR="009F644C" w:rsidRPr="00A72324">
              <w:rPr>
                <w:sz w:val="26"/>
                <w:szCs w:val="26"/>
                <w:u w:val="single"/>
              </w:rPr>
              <w:t>51</w:t>
            </w:r>
            <w:r w:rsidR="00B26CFD" w:rsidRPr="00A72324">
              <w:rPr>
                <w:sz w:val="26"/>
                <w:szCs w:val="26"/>
                <w:u w:val="single"/>
              </w:rPr>
              <w:t>30</w:t>
            </w:r>
            <w:r w:rsidR="009F644C" w:rsidRPr="00A72324">
              <w:rPr>
                <w:sz w:val="26"/>
                <w:szCs w:val="26"/>
                <w:u w:val="single"/>
              </w:rPr>
              <w:t>)</w:t>
            </w:r>
            <w:r w:rsidRPr="00A72324">
              <w:rPr>
                <w:sz w:val="26"/>
                <w:szCs w:val="26"/>
              </w:rPr>
              <w:t>_</w:t>
            </w:r>
            <w:proofErr w:type="gramEnd"/>
            <w:r w:rsidRPr="00A72324">
              <w:rPr>
                <w:sz w:val="26"/>
                <w:szCs w:val="26"/>
              </w:rPr>
              <w:t>__</w:t>
            </w:r>
            <w:r w:rsidR="008901D6" w:rsidRPr="00A72324">
              <w:rPr>
                <w:sz w:val="26"/>
                <w:szCs w:val="26"/>
              </w:rPr>
              <w:t>_</w:t>
            </w:r>
          </w:p>
          <w:p w:rsidR="001F1E19" w:rsidRPr="00A7232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A7232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A7232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A7232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A7232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A7232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A7232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A7232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A7232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A7232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A7232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A7232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A7232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A72324">
              <w:rPr>
                <w:u w:val="single"/>
              </w:rPr>
              <w:t xml:space="preserve">           </w:t>
            </w:r>
            <w:hyperlink r:id="rId12" w:history="1">
              <w:r w:rsidRPr="00A7232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A7232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A7232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FE35BA" w:rsidRPr="00A72324" w:rsidRDefault="00FE35B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A72324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A72324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A7232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A7232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A7232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1034F9" w:rsidRPr="00A72324" w:rsidTr="00E61611">
        <w:tc>
          <w:tcPr>
            <w:tcW w:w="4385" w:type="dxa"/>
          </w:tcPr>
          <w:p w:rsidR="00BC5842" w:rsidRPr="00A72324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A72324" w:rsidRDefault="00A478D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ООО «</w:t>
            </w:r>
            <w:proofErr w:type="spellStart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ИнфоТехРазвитие</w:t>
            </w:r>
            <w:proofErr w:type="spellEnd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»</w:t>
            </w:r>
          </w:p>
        </w:tc>
      </w:tr>
      <w:tr w:rsidR="001034F9" w:rsidRPr="00A72324" w:rsidTr="00E61611">
        <w:tc>
          <w:tcPr>
            <w:tcW w:w="4385" w:type="dxa"/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A478DA" w:rsidRPr="00A72324" w:rsidRDefault="00A478DA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оценка соответствия</w:t>
            </w:r>
          </w:p>
        </w:tc>
      </w:tr>
      <w:tr w:rsidR="001034F9" w:rsidRPr="00A72324" w:rsidTr="00E61611">
        <w:tc>
          <w:tcPr>
            <w:tcW w:w="4385" w:type="dxa"/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A478DA" w:rsidRPr="00A72324" w:rsidRDefault="00A478DA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Бурьянов Павел Дмитриевич</w:t>
            </w:r>
          </w:p>
        </w:tc>
      </w:tr>
      <w:tr w:rsidR="001034F9" w:rsidRPr="00A72324" w:rsidTr="00E61611">
        <w:tc>
          <w:tcPr>
            <w:tcW w:w="4385" w:type="dxa"/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A478DA" w:rsidRPr="00A72324" w:rsidRDefault="00A478DA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+7-985-600-6917</w:t>
            </w:r>
          </w:p>
        </w:tc>
      </w:tr>
      <w:tr w:rsidR="001034F9" w:rsidRPr="00A72324" w:rsidTr="00E61611">
        <w:tc>
          <w:tcPr>
            <w:tcW w:w="4385" w:type="dxa"/>
            <w:tcBorders>
              <w:bottom w:val="single" w:sz="4" w:space="0" w:color="auto"/>
            </w:tcBorders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478DA" w:rsidRPr="00A72324" w:rsidRDefault="00A478DA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>buryanov@infotr.ru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78DA" w:rsidRPr="00A72324" w:rsidRDefault="00A478DA" w:rsidP="00A478D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A723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A723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A72324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C9618B" w:rsidP="00C9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соответствии с Информационно-аналитической справкой проект Решения ЕЭК направлен на решение следующих проблем:</w:t>
            </w:r>
          </w:p>
          <w:p w:rsidR="00C9618B" w:rsidRPr="00A72324" w:rsidRDefault="000229C3" w:rsidP="00C9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  <w:t xml:space="preserve">Проблема № </w:t>
            </w:r>
            <w:r w:rsidR="00C9618B" w:rsidRPr="00A723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  <w:t>1</w:t>
            </w:r>
            <w:r w:rsidR="00C9618B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снижение уровня доверия к результатам деятельности органов по оценке соответствия</w:t>
            </w:r>
          </w:p>
          <w:p w:rsidR="00C9618B" w:rsidRPr="00A72324" w:rsidRDefault="000229C3" w:rsidP="00C9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  <w:t xml:space="preserve">Проблема № </w:t>
            </w:r>
            <w:r w:rsidR="00C9618B" w:rsidRPr="00A723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  <w:t>2</w:t>
            </w:r>
            <w:r w:rsidR="00C9618B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уточнение понятий</w:t>
            </w:r>
          </w:p>
          <w:p w:rsidR="00C9618B" w:rsidRPr="00A72324" w:rsidRDefault="000229C3" w:rsidP="00C9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  <w:t xml:space="preserve">Проблема № </w:t>
            </w:r>
            <w:r w:rsidR="00C9618B" w:rsidRPr="00A723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  <w:t>3</w:t>
            </w:r>
            <w:r w:rsidR="00C9618B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уточнение критериев включения органов по оценке соответствия в единый реестр.</w:t>
            </w:r>
          </w:p>
          <w:p w:rsidR="002102F1" w:rsidRPr="00A72324" w:rsidRDefault="002102F1" w:rsidP="00C9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x-none"/>
              </w:rPr>
              <w:t>Проблема № 4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уточнение состава сведений, вносимых в единый реестр.</w:t>
            </w:r>
          </w:p>
          <w:p w:rsidR="00C9618B" w:rsidRPr="00A72324" w:rsidRDefault="00C9618B" w:rsidP="0021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соответствии с Заключением об оценке фактического воздействия Решения Совета Евразийской экономической комиссии от 5 декабря 2018 г. № 100 «О порядке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ведения» от 22 мая 2025 г. № 2 (далее Заключение) 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требующими незамедлительного решения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являются только две первых проблемы.</w:t>
            </w:r>
          </w:p>
          <w:p w:rsidR="00961749" w:rsidRPr="00A72324" w:rsidRDefault="00FF317F" w:rsidP="00657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x-none"/>
              </w:rPr>
              <w:t>Проблема № 5.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В тексте Заключения (пп.5 п.4 Приложения к Заключению) выявлена проблема </w:t>
            </w:r>
            <w:r w:rsidR="00657BDB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(в информационно-аналитической справке о последствиях влияния проекта решения Евразийской экономической комиссии на условия ведения предпринимательской деятельности данная проблема не отражена)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наличия неравных, ухудшенных и дискриминационных условий для органов по оценке соответствия Республики Казахстан и Российской Федерации по сравнению с органами по оценке соответствия других стран ЕАЭС.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2. 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C9618B" w:rsidP="00C9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Согласно Заключения Решение № 100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целом,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обеспечивает доверие органов по аккредитации к результатам деятельности аккредитованных лиц и </w:t>
            </w:r>
            <w:proofErr w:type="gramStart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формированию качественного состава органов</w:t>
            </w:r>
            <w:proofErr w:type="gramEnd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по оценке соответствия.</w:t>
            </w:r>
          </w:p>
          <w:p w:rsidR="00C9618B" w:rsidRPr="00A72324" w:rsidRDefault="00C9618B" w:rsidP="00C9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Вместе с тем,</w:t>
            </w:r>
            <w:r w:rsidR="00E85637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раз возникают вопросы по трактовке терминов, решение проблемы их неоднозначной трактовки является актуальной и соответствует сложившейся проблемной ситуации.</w:t>
            </w:r>
          </w:p>
        </w:tc>
      </w:tr>
      <w:tr w:rsidR="001034F9" w:rsidRPr="00A72324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A72324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E85637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адресаты регулирования следует добавить субъекты предпринимательской деятельности, выпускающие в обращение продукции, так как изменения деятельности аккредитованных лиц напрямую влияет на сроки и стоимость проведения работ по оценке соответствия, что в свою очередь влияет на себе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стоимость выпускаемой продукции и окончательную стоимость продукта на рынка для рядового потребителя.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E25056" w:rsidP="00FF5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Изменения, вносимые в п.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9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а 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части </w:t>
            </w:r>
            <w:r w:rsidR="00A72324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обязанности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испытательны</w:t>
            </w:r>
            <w:r w:rsidR="00A72324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х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лаборатори</w:t>
            </w:r>
            <w:r w:rsidR="00A72324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й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проводить испытания только в стране регистрации юридического лица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повлияют на логистику и стоимость проводимых работ. Например, в области машиностроения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(подтверждение соответствия проводится в соответствии с ТР ТС 010/2011) 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существу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т 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достаточно большое число 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вид</w:t>
            </w:r>
            <w:r w:rsidR="00A72324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ов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продукции, которую можно испытать только в местах ее эксплуатации и нет возможности доставить</w:t>
            </w:r>
            <w:r w:rsidR="00A72324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ее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до 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испытательной 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лаборатории, например, карьерный экскаватор или конвейерная лента и др. Также существует ряд требований для проведения испытаний на соответствие которым на территории 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ЕАЭС</w:t>
            </w:r>
            <w:r w:rsidR="00FF598F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отсутствует испытательная база.</w:t>
            </w:r>
          </w:p>
          <w:p w:rsidR="000229C3" w:rsidRPr="00A72324" w:rsidRDefault="00FF598F" w:rsidP="00FF5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рамках ТР ТС 018 есть отдельны</w:t>
            </w:r>
            <w:bookmarkStart w:id="0" w:name="_GoBack"/>
            <w:bookmarkEnd w:id="0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 виды испытаний, которые можно провести только на территории Р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оссийской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Ф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едерации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или Р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еспублики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Б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еларусь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, что при наличии </w:t>
            </w:r>
            <w:proofErr w:type="spellStart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санкционных</w:t>
            </w:r>
            <w:proofErr w:type="spellEnd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ограничений делает невозможным на территории ЕАЭС проведени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испытаний для продукции из недружественных для РФ стран.</w:t>
            </w:r>
          </w:p>
          <w:p w:rsidR="00A72324" w:rsidRPr="00A72324" w:rsidRDefault="00392366" w:rsidP="00A7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большинстве стран деятельность лабораторий регулируется стандартом </w:t>
            </w:r>
            <w:r w:rsidR="00A72324"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>ISO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17025. Вводя дополнительные требования создаются условия, при которых испытательные лаборатории ЕАЭС ставятся в неравные, ухудшенные и дискриминационные условия по сравнению с лабораториями других стран</w:t>
            </w:r>
            <w:r w:rsidR="00A72324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мира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  <w:p w:rsidR="00392366" w:rsidRPr="00A72324" w:rsidRDefault="00A72324" w:rsidP="00A72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Такой подход ограничивает права заявителей, заложенный в пункт 5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приложения №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11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к Договору о Евразийском экономическом союзе от 29 мая 2014 года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 на право обращаться в любой ОС, к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5.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FF598F" w:rsidRPr="00A72324" w:rsidRDefault="00A478DA" w:rsidP="000229C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B17B69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По проблеме № 3.</w:t>
            </w:r>
            <w:r w:rsidR="000229C3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Предлагаемый вариант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не является решением проблемы, а </w:t>
            </w:r>
            <w:r w:rsidR="000229C3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приведет к увеличению сроков и стоимости проведения работ по оценке соответствия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а в некоторых случаях и к невозможности проведения испытаний</w:t>
            </w:r>
            <w:r w:rsidR="000229C3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  <w:p w:rsidR="000229C3" w:rsidRPr="00A72324" w:rsidRDefault="000229C3" w:rsidP="0021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Представляется более предпочтительным вариант сохранения действующего регулирования с акцентом на увеличение эффективности контрольно-надзорной деятельности в отношении аккредитованных лиц с учетом опыта применения риск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ориентированного подхода.</w:t>
            </w:r>
          </w:p>
          <w:p w:rsidR="0030768E" w:rsidRPr="00A72324" w:rsidRDefault="0030768E" w:rsidP="003076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Вместе с тем, необходимо отметить, что одной из предпосылок изменения в законодательстве обусловлено сложным контролем за деятельностью аккредитованных субъектов со стороны надзорных органов в случае осуществления деятельности аккредитованного лица на территории других государств. Запрет является радикальным решением, которое нанесет непоправимой ущерб отрасли оценки соответствия в целом, что приведет к увеличению стоимости испытании и как следствие увеличению стоимости продукции, а также усложнит перемещение товаров и услуг на территории ЕАЭС. Решение данной проблемы — это организация обмена данными между контролирующими органами. Создание единых баз данных по выданным протоколам испытаний, в том числе с выгрузкой самих протоколов и показателей, указанных в них в машиночитаемом виде.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0229C3" w:rsidP="0021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ункт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5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A478DA" w:rsidP="00022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7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. Обеспечивает ли механизм решения проблемы, предложенный в проекте решения ЕЭК, достижение цели регулирования?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D4" w:rsidRPr="00A72324" w:rsidRDefault="008022D4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Перечень проблем приведен в ответе на вопрос № 1.</w:t>
            </w:r>
          </w:p>
          <w:p w:rsidR="00A478DA" w:rsidRPr="00A72324" w:rsidRDefault="000229C3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Проблему № 1 не решает.</w:t>
            </w:r>
          </w:p>
          <w:p w:rsidR="000229C3" w:rsidRPr="00A72324" w:rsidRDefault="000229C3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Проблему № 2 решает.</w:t>
            </w:r>
          </w:p>
          <w:p w:rsidR="000229C3" w:rsidRPr="00A72324" w:rsidRDefault="000229C3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Проблему № 3 не решает, а усугубляет.</w:t>
            </w:r>
          </w:p>
          <w:p w:rsidR="002102F1" w:rsidRPr="00A72324" w:rsidRDefault="002102F1" w:rsidP="00210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Проблему № 4 решает.</w:t>
            </w:r>
          </w:p>
          <w:p w:rsidR="00FF317F" w:rsidRPr="00A72324" w:rsidRDefault="00FF317F" w:rsidP="002102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Проблему № 5 не решает.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C23594" w:rsidP="008022D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Если исходить из того, что Решение будет принято в предлагаемом варианте, то переходный период необходим. Желательно</w:t>
            </w:r>
            <w:r w:rsidR="002102F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чтобы </w:t>
            </w:r>
            <w:r w:rsidR="00916103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срок переходного периода составлял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8022D4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не менее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год</w:t>
            </w:r>
            <w:r w:rsidR="008022D4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так как аккредитованным лицам потребуется время для расширения/сокращения области аккредитации.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1034F9" w:rsidRPr="00A72324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594" w:rsidRPr="00A72324" w:rsidRDefault="00C23594" w:rsidP="00C235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Пункты 8, 9, 10 Решения № 100 говорят о ВКЛЮЧЕНИИ </w:t>
            </w:r>
            <w:proofErr w:type="gramStart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органов</w:t>
            </w:r>
            <w:proofErr w:type="gramEnd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по оценке соответствия. Т.е. аккредитованное лицо еще не включено в национальную часть единого реестра, и не выполняло никаких работ по оценке соответствия, и к нему не могут предъявляться требования к выполнению тех или иных этапов оценки соответствия. Нет результатов деятельности, которые можно как-то оценить. </w:t>
            </w:r>
          </w:p>
          <w:p w:rsidR="00C23594" w:rsidRPr="00A72324" w:rsidRDefault="00C23594" w:rsidP="00C235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Надо разделить на этапы: включение в единый реестр, периодическая оценка, продление в реестре, исключение из реестра.</w:t>
            </w:r>
          </w:p>
        </w:tc>
      </w:tr>
      <w:tr w:rsidR="001034F9" w:rsidRPr="00A72324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A478DA" w:rsidRPr="00A72324" w:rsidRDefault="00A478DA" w:rsidP="00A478DA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1034F9" w:rsidRPr="00A72324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A" w:rsidRPr="00A72324" w:rsidRDefault="00C23594" w:rsidP="00A47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- </w:t>
            </w:r>
          </w:p>
        </w:tc>
      </w:tr>
    </w:tbl>
    <w:p w:rsidR="00BC5842" w:rsidRPr="00A72324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A72324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A7232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A7232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A72324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1034F9" w:rsidRPr="00A72324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1034F9" w:rsidRPr="00A72324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A72324" w:rsidRDefault="00392366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Нет, они не являются однозначными.</w:t>
            </w:r>
          </w:p>
          <w:p w:rsidR="00392366" w:rsidRPr="00A72324" w:rsidRDefault="00392366" w:rsidP="0091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Например, п</w:t>
            </w:r>
            <w:r w:rsidR="00916103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ункт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8а), </w:t>
            </w:r>
            <w:proofErr w:type="gramStart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фраза</w:t>
            </w:r>
            <w:proofErr w:type="gramEnd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указанная в скобках «(за исключением процедур оценки соответствия, предусмотренных схемами оценки соответствия)» может </w:t>
            </w:r>
            <w:r w:rsidR="00916103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трактоваться так,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что Орган по сертификации может осуществлять на территории страны регистрации свою деятельность за исключением процедур оценки соответствия, предусмотренных схемами оценки соответствия. Т.е. ОС не может выполнять свою непосредственную функцию.</w:t>
            </w:r>
          </w:p>
        </w:tc>
      </w:tr>
      <w:tr w:rsidR="001034F9" w:rsidRPr="00A72324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1034F9" w:rsidRPr="00A72324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A72324" w:rsidRDefault="00392366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Затрагиваются интересы органов по оценке соответствия, а также субъекты предпринимательской деятельности, выпускающие в обращение продукцию.</w:t>
            </w:r>
          </w:p>
        </w:tc>
      </w:tr>
      <w:tr w:rsidR="001034F9" w:rsidRPr="00A72324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A72324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1034F9" w:rsidRPr="00A72324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7657" w:rsidRPr="00A72324" w:rsidRDefault="001F7657" w:rsidP="00DB5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 xml:space="preserve">По Проблеме № 2. В предлагаемом проекте не рассматривается термин «необоснованная выдача документов». </w:t>
            </w:r>
          </w:p>
          <w:p w:rsidR="001F7657" w:rsidRPr="00A72324" w:rsidRDefault="001F7657" w:rsidP="001F7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«Необоснованная выдача документов» - выдача документов об оценке соответствия с нарушениями процедур оценки соответствия, предусмотренными настоящим Порядком. Но в Порядке, утвержденном Решение № 100 отсутствуют процедуры оценки соответствия. Требуется корректировка указанного термина.</w:t>
            </w:r>
          </w:p>
          <w:p w:rsidR="00BC5842" w:rsidRPr="00A72324" w:rsidRDefault="00657BDB" w:rsidP="00DB5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По Проблеме № 3. </w:t>
            </w:r>
            <w:r w:rsidR="00DB5361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На данном этапе развития испытательной базы на территории ЕАЭС не стоит вводить ограничения по оценке соответствия по принципу расположения в одной стране заявителя - органа по сертификации – испытательной лаборатории.</w:t>
            </w:r>
          </w:p>
          <w:p w:rsidR="00DB5361" w:rsidRPr="00A72324" w:rsidRDefault="00DB5361" w:rsidP="00DB5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Особенно это сильно скажется на странах со слаборазвитой лабораторной базой.</w:t>
            </w:r>
          </w:p>
          <w:p w:rsidR="00DB5361" w:rsidRPr="00A72324" w:rsidRDefault="00DB5361" w:rsidP="00DB5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Между аккредитованными лицами разных стран существует конкурентная борьба, которая сказывается, в том числе, и на стоимости </w:t>
            </w:r>
            <w:proofErr w:type="gramStart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работ</w:t>
            </w:r>
            <w:proofErr w:type="gramEnd"/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по оценке соответствия. Искусственное ограничение может привести к монополизации рынка услуг по оценке соответствия в той или иной стране, что негативно скажется на стоимости и сроках выполнения работ. </w:t>
            </w:r>
          </w:p>
          <w:p w:rsidR="00916103" w:rsidRPr="00A72324" w:rsidRDefault="00916103" w:rsidP="00DB53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Также такой подход нарушает абзац 14 пункта 5 Протокола о техническом регулировании в рамках Евразийского экономического союза (приложения № 9 к Договору о Евразийском экономическом союзе от 29 мая 2014 года).</w:t>
            </w:r>
          </w:p>
          <w:p w:rsidR="00657BDB" w:rsidRPr="00A72324" w:rsidRDefault="00657BDB" w:rsidP="000D6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По Проблеме № 5. С целью исключения дискриминационных условий </w:t>
            </w:r>
            <w:r w:rsidR="000D66A6"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добавить в Решение № 100 либо положение об исключении дополнительных требований к включению органов по оценке соответствия в национальную часть единого реестра либо обязательства всех государств-членов ЕАЭС одновременно вводить у себя одинаковые дополнительные требования к включению органов по оценке соответствия в национальную часть единого реестра.</w:t>
            </w:r>
          </w:p>
        </w:tc>
      </w:tr>
      <w:tr w:rsidR="001034F9" w:rsidRPr="00A72324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1034F9" w:rsidRPr="00A72324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A72324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1034F9" w:rsidRPr="00A72324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A72324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A72324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A72324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A72324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оптимальным способом (например, на бумажном носителе, а не в электронном виде)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A72324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Х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A72324" w:rsidRDefault="00DB5361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1034F9" w:rsidRPr="00A72324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A7232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A7232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A72324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A72324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A72324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A72324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A72324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A72324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A72324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A72324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A72324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A72324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A72324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A72324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A72324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A72324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A72324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A72324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A72324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A72324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A72324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A72324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A72324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1034F9" w:rsidRDefault="00BC5842" w:rsidP="003C663F">
      <w:pPr>
        <w:spacing w:after="0" w:line="240" w:lineRule="auto"/>
        <w:ind w:left="-142"/>
        <w:jc w:val="both"/>
      </w:pPr>
      <w:r w:rsidRPr="00A72324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A72324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1034F9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DA" w:rsidRDefault="00BA4FDA" w:rsidP="005029A2">
      <w:pPr>
        <w:spacing w:after="0" w:line="240" w:lineRule="auto"/>
      </w:pPr>
      <w:r>
        <w:separator/>
      </w:r>
    </w:p>
  </w:endnote>
  <w:endnote w:type="continuationSeparator" w:id="0">
    <w:p w:rsidR="00BA4FDA" w:rsidRDefault="00BA4FDA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DA" w:rsidRDefault="00BA4FDA" w:rsidP="005029A2">
      <w:pPr>
        <w:spacing w:after="0" w:line="240" w:lineRule="auto"/>
      </w:pPr>
      <w:r>
        <w:separator/>
      </w:r>
    </w:p>
  </w:footnote>
  <w:footnote w:type="continuationSeparator" w:id="0">
    <w:p w:rsidR="00BA4FDA" w:rsidRDefault="00BA4FDA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72324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A63F4"/>
    <w:multiLevelType w:val="hybridMultilevel"/>
    <w:tmpl w:val="C9D81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229C3"/>
    <w:rsid w:val="00030BCF"/>
    <w:rsid w:val="00031760"/>
    <w:rsid w:val="00031B9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6B94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5A6"/>
    <w:rsid w:val="000C332A"/>
    <w:rsid w:val="000C3763"/>
    <w:rsid w:val="000C4753"/>
    <w:rsid w:val="000D2F7D"/>
    <w:rsid w:val="000D5648"/>
    <w:rsid w:val="000D66A6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34F9"/>
    <w:rsid w:val="00105793"/>
    <w:rsid w:val="00106DD5"/>
    <w:rsid w:val="001075F7"/>
    <w:rsid w:val="00110445"/>
    <w:rsid w:val="001109DF"/>
    <w:rsid w:val="001112C1"/>
    <w:rsid w:val="00113EE9"/>
    <w:rsid w:val="00114D51"/>
    <w:rsid w:val="001154FD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0EF9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3BC7"/>
    <w:rsid w:val="001F53AC"/>
    <w:rsid w:val="001F689E"/>
    <w:rsid w:val="001F75F9"/>
    <w:rsid w:val="001F7657"/>
    <w:rsid w:val="00200722"/>
    <w:rsid w:val="0020227D"/>
    <w:rsid w:val="002023DB"/>
    <w:rsid w:val="0020303D"/>
    <w:rsid w:val="002049D2"/>
    <w:rsid w:val="00205D4D"/>
    <w:rsid w:val="00207AE8"/>
    <w:rsid w:val="002102F1"/>
    <w:rsid w:val="00215D43"/>
    <w:rsid w:val="00216123"/>
    <w:rsid w:val="00216D4D"/>
    <w:rsid w:val="00217D1C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50F"/>
    <w:rsid w:val="002F0FAF"/>
    <w:rsid w:val="002F1E67"/>
    <w:rsid w:val="002F4F32"/>
    <w:rsid w:val="002F558F"/>
    <w:rsid w:val="003016A3"/>
    <w:rsid w:val="00307482"/>
    <w:rsid w:val="0030768E"/>
    <w:rsid w:val="00310832"/>
    <w:rsid w:val="00312DC9"/>
    <w:rsid w:val="003137AC"/>
    <w:rsid w:val="00313CAF"/>
    <w:rsid w:val="00317B44"/>
    <w:rsid w:val="00317CFD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66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57BDB"/>
    <w:rsid w:val="006610BF"/>
    <w:rsid w:val="00662B9A"/>
    <w:rsid w:val="0066421D"/>
    <w:rsid w:val="00664583"/>
    <w:rsid w:val="00664BCA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7F7BF7"/>
    <w:rsid w:val="00801B92"/>
    <w:rsid w:val="00801FFC"/>
    <w:rsid w:val="008022D4"/>
    <w:rsid w:val="00803F7A"/>
    <w:rsid w:val="00805100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61A5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3C9D"/>
    <w:rsid w:val="009042AB"/>
    <w:rsid w:val="00904A2F"/>
    <w:rsid w:val="00904B34"/>
    <w:rsid w:val="00906B07"/>
    <w:rsid w:val="00906D1F"/>
    <w:rsid w:val="00910D98"/>
    <w:rsid w:val="0091251B"/>
    <w:rsid w:val="00912DA9"/>
    <w:rsid w:val="009130BF"/>
    <w:rsid w:val="00913765"/>
    <w:rsid w:val="00915668"/>
    <w:rsid w:val="00916103"/>
    <w:rsid w:val="00916266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1749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37C2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478DA"/>
    <w:rsid w:val="00A513AB"/>
    <w:rsid w:val="00A5204C"/>
    <w:rsid w:val="00A57FB2"/>
    <w:rsid w:val="00A65275"/>
    <w:rsid w:val="00A72324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A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17B69"/>
    <w:rsid w:val="00B20CA0"/>
    <w:rsid w:val="00B2140E"/>
    <w:rsid w:val="00B23333"/>
    <w:rsid w:val="00B268A0"/>
    <w:rsid w:val="00B26CFD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312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4FDA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23594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618B"/>
    <w:rsid w:val="00C97F0A"/>
    <w:rsid w:val="00CA00BB"/>
    <w:rsid w:val="00CA1A30"/>
    <w:rsid w:val="00CA34A3"/>
    <w:rsid w:val="00CA433E"/>
    <w:rsid w:val="00CA495E"/>
    <w:rsid w:val="00CA5153"/>
    <w:rsid w:val="00CA55BD"/>
    <w:rsid w:val="00CB094E"/>
    <w:rsid w:val="00CB0FD1"/>
    <w:rsid w:val="00CB1E4D"/>
    <w:rsid w:val="00CB30E6"/>
    <w:rsid w:val="00CB50C1"/>
    <w:rsid w:val="00CB698F"/>
    <w:rsid w:val="00CB7514"/>
    <w:rsid w:val="00CC1954"/>
    <w:rsid w:val="00CC43FF"/>
    <w:rsid w:val="00CC60CC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245A0"/>
    <w:rsid w:val="00D342FD"/>
    <w:rsid w:val="00D40872"/>
    <w:rsid w:val="00D457CA"/>
    <w:rsid w:val="00D46498"/>
    <w:rsid w:val="00D46818"/>
    <w:rsid w:val="00D5420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5361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E7F6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25056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5637"/>
    <w:rsid w:val="00E86A10"/>
    <w:rsid w:val="00E92C7D"/>
    <w:rsid w:val="00E93E47"/>
    <w:rsid w:val="00E96E9C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D63C3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35BA"/>
    <w:rsid w:val="00FE6D2A"/>
    <w:rsid w:val="00FF065D"/>
    <w:rsid w:val="00FF09D1"/>
    <w:rsid w:val="00FF24D9"/>
    <w:rsid w:val="00FF2B11"/>
    <w:rsid w:val="00FF317F"/>
    <w:rsid w:val="00FF38C5"/>
    <w:rsid w:val="00FF598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2429"/>
  <w15:docId w15:val="{E55E5DE6-3A9D-446D-B673-541725A2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9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aeunio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E8AB4-DB08-4B63-8E50-F8FF78FF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Бурьянов Павел</cp:lastModifiedBy>
  <cp:revision>7</cp:revision>
  <cp:lastPrinted>2025-10-28T11:56:00Z</cp:lastPrinted>
  <dcterms:created xsi:type="dcterms:W3CDTF">2025-10-31T06:17:00Z</dcterms:created>
  <dcterms:modified xsi:type="dcterms:W3CDTF">2025-11-05T14:01:00Z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