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3017"/>
        <w:gridCol w:w="3078"/>
      </w:tblGrid>
      <w:tr w:rsidR="00C86F66" w:rsidRPr="00C86F66" w14:paraId="4B4E837E" w14:textId="77777777" w:rsidTr="00C86F66">
        <w:trPr>
          <w:trHeight w:val="3983"/>
        </w:trPr>
        <w:tc>
          <w:tcPr>
            <w:tcW w:w="8931" w:type="dxa"/>
          </w:tcPr>
          <w:p w14:paraId="44819017" w14:textId="77777777" w:rsidR="00C86F66" w:rsidRPr="00C86F66" w:rsidRDefault="00C86F66" w:rsidP="00C86F66">
            <w:pPr>
              <w:rPr>
                <w:rFonts w:ascii="Calibri" w:eastAsia="Calibri" w:hAnsi="Calibri" w:cs="Times New Roman"/>
              </w:rPr>
            </w:pPr>
          </w:p>
          <w:p w14:paraId="3981A1D1" w14:textId="77777777" w:rsidR="00C86F66" w:rsidRPr="00C86F66" w:rsidRDefault="00C86F66" w:rsidP="00C86F66">
            <w:pPr>
              <w:rPr>
                <w:rFonts w:ascii="Calibri" w:eastAsia="Calibri" w:hAnsi="Calibri" w:cs="Times New Roman"/>
              </w:rPr>
            </w:pPr>
          </w:p>
          <w:p w14:paraId="301DA635" w14:textId="77777777" w:rsidR="00C86F66" w:rsidRPr="00E54533" w:rsidRDefault="00C86F66" w:rsidP="00C86F66">
            <w:pPr>
              <w:spacing w:line="288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86F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Замечания и предложения </w:t>
            </w:r>
          </w:p>
          <w:p w14:paraId="0FA31E0B" w14:textId="77777777" w:rsidR="00C86F66" w:rsidRPr="00E54533" w:rsidRDefault="00C86F66" w:rsidP="00C86F66">
            <w:pPr>
              <w:spacing w:line="288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86F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Американской Торговой Палаты в России  </w:t>
            </w:r>
          </w:p>
          <w:p w14:paraId="7ED81FEE" w14:textId="204A7190" w:rsidR="00C86F66" w:rsidRPr="00C86F66" w:rsidRDefault="00C86F66" w:rsidP="00C86F66">
            <w:pPr>
              <w:spacing w:line="288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6F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 проекту решения Совета Евразийской экономической </w:t>
            </w:r>
            <w:proofErr w:type="gramStart"/>
            <w:r w:rsidRPr="00C86F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комиссии</w:t>
            </w:r>
            <w:r w:rsidRPr="00C86F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«</w:t>
            </w:r>
            <w:proofErr w:type="gramEnd"/>
            <w:r w:rsidRPr="00C86F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Методические рекомендации по проведению инспектирования производства медицинских изделий</w:t>
            </w:r>
            <w:r w:rsidR="00E545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444DD7C9" w14:textId="77777777" w:rsidR="00C86F66" w:rsidRPr="00C86F66" w:rsidRDefault="00C86F66" w:rsidP="00C86F66">
            <w:pPr>
              <w:rPr>
                <w:rFonts w:ascii="Calibri" w:eastAsia="Calibri" w:hAnsi="Calibri" w:cs="Times New Roman"/>
              </w:rPr>
            </w:pPr>
          </w:p>
          <w:p w14:paraId="795C0A44" w14:textId="77777777" w:rsidR="00C86F66" w:rsidRPr="00C86F66" w:rsidRDefault="00C86F66" w:rsidP="00C86F66">
            <w:pPr>
              <w:rPr>
                <w:rFonts w:ascii="Calibri" w:eastAsia="Calibri" w:hAnsi="Calibri" w:cs="Times New Roman"/>
              </w:rPr>
            </w:pPr>
          </w:p>
          <w:p w14:paraId="5B02C125" w14:textId="3CD54ABF" w:rsidR="00C86F66" w:rsidRPr="00C86F66" w:rsidRDefault="00C86F66" w:rsidP="00C86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Дата: 26 декабря 2025г. </w:t>
            </w:r>
          </w:p>
          <w:p w14:paraId="10F6801A" w14:textId="77777777" w:rsidR="00C86F66" w:rsidRPr="00C86F66" w:rsidRDefault="00C86F66" w:rsidP="00C86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508D3A" w14:textId="7FC4385A" w:rsidR="00C86F66" w:rsidRPr="00C86F66" w:rsidRDefault="00C86F66" w:rsidP="00C86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Ответственный: Власова Мария Юрьевна, телефон: + 7 985104-15-33 </w:t>
            </w:r>
          </w:p>
          <w:p w14:paraId="2CAF24B0" w14:textId="7E5F4B2D" w:rsidR="00C86F66" w:rsidRPr="00C86F66" w:rsidRDefault="00C86F66" w:rsidP="00C86F6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4" w:history="1">
              <w:r w:rsidRPr="00C86F66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</w:t>
              </w:r>
              <w:r w:rsidRPr="00C86F66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C86F66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amcham</w:t>
              </w:r>
              <w:proofErr w:type="spellEnd"/>
              <w:r w:rsidRPr="00C86F66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86F66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61F2DDB" w14:textId="77777777" w:rsidR="00C86F66" w:rsidRPr="00C86F66" w:rsidRDefault="00C86F66" w:rsidP="00C86F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17" w:type="dxa"/>
          </w:tcPr>
          <w:p w14:paraId="052F1410" w14:textId="76A56A68" w:rsidR="00C86F66" w:rsidRPr="00C86F66" w:rsidRDefault="00C86F66" w:rsidP="00C86F66">
            <w:pPr>
              <w:tabs>
                <w:tab w:val="left" w:pos="22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2F01CA1" wp14:editId="30C28DFA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72390</wp:posOffset>
                  </wp:positionV>
                  <wp:extent cx="571500" cy="962025"/>
                  <wp:effectExtent l="0" t="0" r="0" b="9525"/>
                  <wp:wrapTight wrapText="bothSides">
                    <wp:wrapPolygon edited="0">
                      <wp:start x="0" y="0"/>
                      <wp:lineTo x="0" y="21386"/>
                      <wp:lineTo x="20880" y="21386"/>
                      <wp:lineTo x="20880" y="0"/>
                      <wp:lineTo x="0" y="0"/>
                    </wp:wrapPolygon>
                  </wp:wrapTight>
                  <wp:docPr id="1" name="Рисунок 1" descr="3D-Logo-Color-18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3D-Logo-Color-18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8" w:type="dxa"/>
          </w:tcPr>
          <w:p w14:paraId="7A2153B2" w14:textId="77777777" w:rsidR="00C86F66" w:rsidRPr="00C86F66" w:rsidRDefault="00C86F66" w:rsidP="00C86F66">
            <w:pPr>
              <w:ind w:left="2156" w:hanging="2156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C86F66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Американская</w:t>
            </w:r>
          </w:p>
          <w:p w14:paraId="6B94C21B" w14:textId="77777777" w:rsidR="00C86F66" w:rsidRPr="00C86F66" w:rsidRDefault="00C86F66" w:rsidP="00C86F66">
            <w:pPr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C86F66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Торговая</w:t>
            </w:r>
          </w:p>
          <w:p w14:paraId="44E77C1F" w14:textId="77777777" w:rsidR="00C86F66" w:rsidRPr="00C86F66" w:rsidRDefault="00C86F66" w:rsidP="00C86F66">
            <w:pPr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C86F66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Палата в</w:t>
            </w:r>
          </w:p>
          <w:p w14:paraId="7F9183E7" w14:textId="77777777" w:rsidR="00C86F66" w:rsidRPr="00C86F66" w:rsidRDefault="00C86F66" w:rsidP="00C86F66">
            <w:pPr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C86F66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России</w:t>
            </w:r>
          </w:p>
          <w:p w14:paraId="0C7E4289" w14:textId="77777777" w:rsidR="00C86F66" w:rsidRPr="00C86F66" w:rsidRDefault="00C86F66" w:rsidP="00C86F66">
            <w:pPr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</w:p>
          <w:p w14:paraId="62CB40EF" w14:textId="77777777" w:rsidR="00C86F66" w:rsidRPr="00C86F66" w:rsidRDefault="00C86F66" w:rsidP="00C86F66">
            <w:pPr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C86F66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Россия, 125009 Москва</w:t>
            </w:r>
          </w:p>
          <w:p w14:paraId="2A86EF63" w14:textId="77777777" w:rsidR="00C86F66" w:rsidRPr="00C86F66" w:rsidRDefault="00C86F66" w:rsidP="00C86F66">
            <w:pPr>
              <w:tabs>
                <w:tab w:val="left" w:pos="227"/>
              </w:tabs>
              <w:ind w:firstLine="39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C86F66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Ул. Большая Дмитровка, 7/5 стр. 1, этаж 6, офис 27</w:t>
            </w:r>
          </w:p>
          <w:p w14:paraId="159A6549" w14:textId="77777777" w:rsidR="00C86F66" w:rsidRPr="00C86F66" w:rsidRDefault="00C86F66" w:rsidP="00C86F66">
            <w:pPr>
              <w:tabs>
                <w:tab w:val="left" w:pos="227"/>
              </w:tabs>
              <w:rPr>
                <w:rFonts w:ascii="Times New Roman" w:eastAsia="Aptos" w:hAnsi="Times New Roman" w:cs="Times New Roman"/>
                <w:kern w:val="2"/>
                <w:lang w:val="fr-FR"/>
                <w14:ligatures w14:val="standardContextual"/>
              </w:rPr>
            </w:pPr>
            <w:r w:rsidRPr="00C86F66">
              <w:rPr>
                <w:rFonts w:ascii="Times New Roman" w:eastAsia="Aptos" w:hAnsi="Times New Roman" w:cs="Times New Roman"/>
                <w:kern w:val="2"/>
                <w:lang w:val="fr-FR"/>
                <w14:ligatures w14:val="standardContextual"/>
              </w:rPr>
              <w:t xml:space="preserve">T </w:t>
            </w:r>
            <w:r w:rsidRPr="00C86F66">
              <w:rPr>
                <w:rFonts w:ascii="Times New Roman" w:eastAsia="Aptos" w:hAnsi="Times New Roman" w:cs="Times New Roman"/>
                <w:kern w:val="2"/>
                <w:lang w:val="fr-FR"/>
                <w14:ligatures w14:val="standardContextual"/>
              </w:rPr>
              <w:tab/>
              <w:t>+7 (495) 961 2141</w:t>
            </w:r>
          </w:p>
          <w:p w14:paraId="5F2C5D76" w14:textId="77777777" w:rsidR="00C86F66" w:rsidRPr="00C86F66" w:rsidRDefault="00C86F66" w:rsidP="00C86F66">
            <w:pPr>
              <w:tabs>
                <w:tab w:val="left" w:pos="227"/>
              </w:tabs>
              <w:rPr>
                <w:rFonts w:ascii="Times New Roman" w:eastAsia="Aptos" w:hAnsi="Times New Roman" w:cs="Times New Roman"/>
                <w:kern w:val="2"/>
                <w:lang w:val="fr-FR"/>
                <w14:ligatures w14:val="standardContextual"/>
              </w:rPr>
            </w:pPr>
            <w:r w:rsidRPr="00C86F66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Ф</w:t>
            </w:r>
            <w:r w:rsidRPr="00C86F66">
              <w:rPr>
                <w:rFonts w:ascii="Times New Roman" w:eastAsia="Aptos" w:hAnsi="Times New Roman" w:cs="Times New Roman"/>
                <w:kern w:val="2"/>
                <w:lang w:val="fr-FR"/>
                <w14:ligatures w14:val="standardContextual"/>
              </w:rPr>
              <w:t xml:space="preserve"> +7 (495) 961 2142</w:t>
            </w:r>
          </w:p>
          <w:p w14:paraId="440A5DB2" w14:textId="77777777" w:rsidR="00C86F66" w:rsidRPr="00C86F66" w:rsidRDefault="00C86F66" w:rsidP="00C86F66">
            <w:pPr>
              <w:tabs>
                <w:tab w:val="left" w:pos="227"/>
              </w:tabs>
              <w:rPr>
                <w:rFonts w:ascii="Times New Roman" w:eastAsia="Aptos" w:hAnsi="Times New Roman" w:cs="Times New Roman"/>
                <w:kern w:val="2"/>
                <w:lang w:val="fr-MA"/>
                <w14:ligatures w14:val="standardContextual"/>
              </w:rPr>
            </w:pPr>
            <w:r w:rsidRPr="00C86F66">
              <w:rPr>
                <w:rFonts w:ascii="Times New Roman" w:eastAsia="Aptos" w:hAnsi="Times New Roman" w:cs="Times New Roman"/>
                <w:kern w:val="2"/>
                <w:lang w:val="fr-FR"/>
                <w14:ligatures w14:val="standardContextual"/>
              </w:rPr>
              <w:t xml:space="preserve">E </w:t>
            </w:r>
            <w:r w:rsidRPr="00C86F66">
              <w:rPr>
                <w:rFonts w:ascii="Times New Roman" w:eastAsia="Aptos" w:hAnsi="Times New Roman" w:cs="Times New Roman"/>
                <w:kern w:val="2"/>
                <w:lang w:val="fr-FR"/>
                <w14:ligatures w14:val="standardContextual"/>
              </w:rPr>
              <w:tab/>
            </w:r>
            <w:bookmarkStart w:id="0" w:name="_Hlk190358710"/>
            <w:r w:rsidRPr="00C86F66">
              <w:rPr>
                <w:rFonts w:ascii="Aptos" w:eastAsia="Aptos" w:hAnsi="Aptos" w:cs="Times New Roman"/>
                <w:kern w:val="2"/>
                <w14:ligatures w14:val="standardContextual"/>
              </w:rPr>
              <w:fldChar w:fldCharType="begin"/>
            </w:r>
            <w:r w:rsidRPr="00C86F66">
              <w:rPr>
                <w:rFonts w:ascii="Aptos" w:eastAsia="Aptos" w:hAnsi="Aptos" w:cs="Times New Roman"/>
                <w:kern w:val="2"/>
                <w:lang w:val="en-US"/>
                <w14:ligatures w14:val="standardContextual"/>
              </w:rPr>
              <w:instrText>HYPERLINK "mailto:gr@amcham.ru"</w:instrText>
            </w:r>
            <w:r w:rsidRPr="00C86F66">
              <w:rPr>
                <w:rFonts w:ascii="Aptos" w:eastAsia="Aptos" w:hAnsi="Aptos" w:cs="Times New Roman"/>
                <w:kern w:val="2"/>
                <w14:ligatures w14:val="standardContextual"/>
              </w:rPr>
            </w:r>
            <w:r w:rsidRPr="00C86F66">
              <w:rPr>
                <w:rFonts w:ascii="Aptos" w:eastAsia="Aptos" w:hAnsi="Aptos" w:cs="Times New Roman"/>
                <w:kern w:val="2"/>
                <w14:ligatures w14:val="standardContextual"/>
              </w:rPr>
              <w:fldChar w:fldCharType="separate"/>
            </w:r>
            <w:r w:rsidRPr="00C86F66">
              <w:rPr>
                <w:rFonts w:ascii="Times New Roman" w:eastAsia="Aptos" w:hAnsi="Times New Roman" w:cs="Times New Roman"/>
                <w:color w:val="467886"/>
                <w:kern w:val="2"/>
                <w:u w:val="single"/>
                <w:lang w:val="fr-MA"/>
                <w14:ligatures w14:val="standardContextual"/>
              </w:rPr>
              <w:t>gr</w:t>
            </w:r>
            <w:r w:rsidRPr="00C86F66">
              <w:rPr>
                <w:rFonts w:ascii="Times New Roman" w:eastAsia="Aptos" w:hAnsi="Times New Roman" w:cs="Times New Roman"/>
                <w:color w:val="467886"/>
                <w:kern w:val="2"/>
                <w:u w:val="single"/>
                <w:lang w:val="fr-FR"/>
                <w14:ligatures w14:val="standardContextual"/>
              </w:rPr>
              <w:t>@amcham.ru</w:t>
            </w:r>
            <w:bookmarkEnd w:id="0"/>
            <w:r w:rsidRPr="00C86F66">
              <w:rPr>
                <w:rFonts w:ascii="Aptos" w:eastAsia="Aptos" w:hAnsi="Aptos" w:cs="Times New Roman"/>
                <w:kern w:val="2"/>
                <w14:ligatures w14:val="standardContextual"/>
              </w:rPr>
              <w:fldChar w:fldCharType="end"/>
            </w:r>
          </w:p>
          <w:p w14:paraId="5CB949BB" w14:textId="77777777" w:rsidR="00C86F66" w:rsidRPr="00C86F66" w:rsidRDefault="00C86F66" w:rsidP="00C86F66">
            <w:pPr>
              <w:ind w:left="2156" w:hanging="2156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</w:tbl>
    <w:p w14:paraId="4B699A0B" w14:textId="77777777" w:rsidR="00480C82" w:rsidRPr="00C86F66" w:rsidRDefault="00480C82">
      <w:pPr>
        <w:rPr>
          <w:sz w:val="24"/>
          <w:szCs w:val="24"/>
          <w:lang w:val="en-US"/>
        </w:rPr>
      </w:pPr>
    </w:p>
    <w:tbl>
      <w:tblPr>
        <w:tblW w:w="1505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6274"/>
        <w:gridCol w:w="6587"/>
      </w:tblGrid>
      <w:tr w:rsidR="00C86F66" w:rsidRPr="00C86F66" w14:paraId="036F1987" w14:textId="77777777" w:rsidTr="006F73B6">
        <w:trPr>
          <w:trHeight w:val="518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5A54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Пункт, абзац </w:t>
            </w:r>
          </w:p>
        </w:tc>
        <w:tc>
          <w:tcPr>
            <w:tcW w:w="6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FBD7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Замечание, предложение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35134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Обоснование </w:t>
            </w:r>
          </w:p>
        </w:tc>
      </w:tr>
      <w:tr w:rsidR="00C86F66" w:rsidRPr="00C86F66" w14:paraId="3DB8BCB2" w14:textId="77777777" w:rsidTr="006F73B6">
        <w:trPr>
          <w:trHeight w:val="518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2F728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добавить п. 1.1.2 с определением дополнительным разъяснением 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>( более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широким, чем в 106) для инспекторов, что такое «производственная площадка»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8C54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Производственная площадка — это территориально обособленный комплекс (идентифицированный одним адресом или группой объединённых адресов), где </w:t>
            </w:r>
            <w:r w:rsidRPr="00C86F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standardContextual"/>
              </w:rPr>
              <w:t>производитель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медицинского изделия осуществляет виды деятельности, связанные с производством медицинского изделия,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выпускаемого (или предназначенного для выпуска)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>в обращение на территории Евразийского экономического союза.</w:t>
            </w:r>
          </w:p>
          <w:p w14:paraId="65544157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83BD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В Решениях Совета ЕЭК N 46 и N 106:  </w:t>
            </w:r>
          </w:p>
          <w:p w14:paraId="0DD9E166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«производственная площадка»: территориально обособленный комплекс, предназначенный для выполнения всего процесса производства медицинского изделия или его определенных стадий.</w:t>
            </w:r>
          </w:p>
          <w:p w14:paraId="7AA8C3B8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В область применения СМК производителя могут быть включены только его «собственные» площадки (территориально обособленные комплексы), которые принадлежат ему как на правах собственности, так и на правах аренды. При этому из-за неконкретности и расплывчатости данного определения и возникают все недоразумения, например, вопросы:  </w:t>
            </w:r>
          </w:p>
          <w:p w14:paraId="3769567E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какого «медицинского изделия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»?,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кому принадлежат эти территориально обособленные комплексы (как на правах собственности, так и на правах аренды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)?,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чья система менеджмента качества (СМК), согласно Решению Совета ЕЭК N 106, подвергается оценке?</w:t>
            </w:r>
          </w:p>
          <w:p w14:paraId="5F27E1EF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lastRenderedPageBreak/>
              <w:t>Исходя из позиции Международного форума по аккредитации (IAF), Международного форума регуляторов медицинских изделий (IMDRF), а также ИСО и МЭК, место осуществления деятельности («</w:t>
            </w:r>
            <w:proofErr w:type="spell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site</w:t>
            </w:r>
            <w:proofErr w:type="spell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» – «площадка») должна находиться под управлением СМК оцениваемой организации (изготовителя медицинского изделия). Все иные «площадки» принадлежат организациям, которые являются поставщиками продукции и/или услуг для нужд изготовителя медицинского изделия, включая переданные на аутсорсинг процессы. Иначе, регулирование ЕАЭС становится единственным примером регулирования медицинских изделий, в котором площадки поставщиков (третьих лиц) отнесены к площадкам производителя.</w:t>
            </w:r>
          </w:p>
          <w:p w14:paraId="18137694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C86F66" w:rsidRPr="00C86F66" w14:paraId="4B9C378D" w14:textId="77777777" w:rsidTr="006F73B6">
        <w:trPr>
          <w:trHeight w:val="460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C397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lastRenderedPageBreak/>
              <w:t>1.3 Первый абзац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6A45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1.Заменить «места производства» на «производственные площадки», или дать разъяснение относительно отличия «мест производства» от «производственной площадки»</w:t>
            </w:r>
          </w:p>
          <w:p w14:paraId="7828C0FD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  <w:p w14:paraId="4E80A7B7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2. Дополнить данный абзац следующим:</w:t>
            </w:r>
          </w:p>
          <w:p w14:paraId="38AEF06C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Такие «производственные площадки», в документах международных организаций IAF, IMDRF/GHTF и ISO/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IEC,  именуются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«местом осуществления деятельности (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S</w:t>
            </w:r>
            <w:proofErr w:type="spell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ite</w:t>
            </w:r>
            <w:proofErr w:type="spell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)» производителя и находятся в области применения (</w:t>
            </w:r>
            <w:proofErr w:type="spell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Scope</w:t>
            </w:r>
            <w:proofErr w:type="spell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) его СМК.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2A04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Понятие «место производства» не определенно актами органов ЕАЭС в сфере обращения медицинских изделий.</w:t>
            </w:r>
          </w:p>
          <w:p w14:paraId="7A3A9991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  <w:p w14:paraId="35223FC5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  <w:p w14:paraId="7DF53836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Поскольку в п.1.3 упоминаются фундаментальные принципы оценки систем менеджмента, установленные международными организациями, то следует дополнить данный абзац соответствующим пояснением. Это особенно важно для понимания инспекторами сведений, указанных в сертификатах соответствия СМК требованиям ISO 13485 или ГОСТ ISO 13485–2017, поскольку данные сертификаты запрашиваются инспектирующими организациями до проведения инспектирования.</w:t>
            </w:r>
          </w:p>
          <w:p w14:paraId="437A730B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C86F66" w:rsidRPr="00C86F66" w14:paraId="7779A21F" w14:textId="77777777" w:rsidTr="006F73B6"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EBCC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1.4 Первый абзац</w:t>
            </w:r>
          </w:p>
          <w:p w14:paraId="3B61C734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E46B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«Согласно Требованиям,  если производитель медицинского изделия внедрил СМК в соответствии с требованиями стандартов, эквивалентных международному стандарту ISO 13485, то доказательства соответствия СМК требованиям данных стандартов (сертификат соответствия, отчеты об аудите системы менеджмента качества) обеспечивают ее соответствие в части процессов и процедур, связанных с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lastRenderedPageBreak/>
              <w:t>функционированием СМК (т.е. обеспечивается выполнение пунктов 7, 8 и 9 Требований). В этом случае, при проведении инспектирования производства проводится оценка СМК медицинских изделий для следующих процессов: …»</w:t>
            </w:r>
          </w:p>
          <w:p w14:paraId="48FE9E22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6035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lastRenderedPageBreak/>
              <w:t xml:space="preserve">Согласно Решению Совета ЕЭК N 106, «инспектирование производства» 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- это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оценка условий производства и СМК производителя медицинского изделия на соответствие настоящим Требованиям. Исходя из данного определения, при инспектировании, должна проводиться оценка всех установленных требований к условиям производства и СМК производителя медицинского изделия.</w:t>
            </w:r>
          </w:p>
          <w:p w14:paraId="4848B3A2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  <w:p w14:paraId="28203AB9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C86F66" w:rsidRPr="00C86F66" w14:paraId="27B7E514" w14:textId="77777777" w:rsidTr="006F73B6"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7414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lastRenderedPageBreak/>
              <w:t>1.4 Последний абзац и Таблицы № 1 –№5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DDA3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Последний абзац дополнить следующим:</w:t>
            </w:r>
          </w:p>
          <w:p w14:paraId="4CC57CCC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В графе «Задачи» таблиц 1 – 5, также указываются связанные с каждой задачей пункты ГОСТ ISO 13485–2017</w:t>
            </w:r>
          </w:p>
          <w:p w14:paraId="4F517BFE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  <w:p w14:paraId="040EAFF8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Таблицы № 1 –№5 </w:t>
            </w:r>
          </w:p>
          <w:p w14:paraId="428177C3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Дополнить каждую задачу по оценке СМК инспектируемых процессов, 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указанием  пунктов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ГОСТ ISO 13485–2017, связанных с каждой задачей. (Например, для задачи 1.5 Таблицы № 1 «Оценка передачи проекта в производство», связанными пунктами 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будут  4.2.1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, 4.2.3 и 7.3.8)</w:t>
            </w:r>
          </w:p>
          <w:p w14:paraId="7BDC564B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6F02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Требования к оценке каждого инспектируемого процесса СМК производителя медицинского изделия установлены и перечислены в пунктах 25-29 (5 процессов) Решения совета ЕЭК N 106. Следовательно, методические рекомендации, должны давать разъяснения по проведению оценки выполнения каждого перечисленного требования для каждого инспектируемого процесса СМК производителя. 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Формулировки  «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Задач» Методических рекомендаций не должны отличаться от формулировок требований Решения совета ЕЭК N 106 по инспектируемым процессам СМК производителя медицинских изделий. </w:t>
            </w:r>
          </w:p>
          <w:p w14:paraId="1F9A91FF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  <w:p w14:paraId="07DF9731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C86F66" w:rsidRPr="00C86F66" w14:paraId="3D7EF95F" w14:textId="77777777" w:rsidTr="006F73B6"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C0588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3.2. Критические поставщики.</w:t>
            </w:r>
          </w:p>
          <w:p w14:paraId="17CD275F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а) и абзац, после перечислений критериев отнесения к «критическим поставщикам»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2FBE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>3.2. Критические поставщики.</w:t>
            </w:r>
          </w:p>
          <w:p w14:paraId="357069C2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>Пункт а) изложить в следующей редакции:</w:t>
            </w:r>
          </w:p>
          <w:p w14:paraId="34961A3C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а) поставщики продукции, которая представляет собой готовое медицинское изделие или принадлежности к медицинским изделиям, которые пригодны для использования или способны функционировать, независимо от того, упакованы они, маркированы или стерилизованы, или нет; Источник: Документ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IMDRF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/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MDSAP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AU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P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>0002.009:  (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Terminology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/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Critical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Suppliers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) «……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finished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devices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i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>.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e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.,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a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device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or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accessory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to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any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device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that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is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suitable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for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use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or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capable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of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functioning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whether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or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not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it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is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packaged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labeled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or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  <w14:ligatures w14:val="standardContextual"/>
              </w:rPr>
              <w:t>sterilized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t>»</w:t>
            </w:r>
          </w:p>
          <w:p w14:paraId="7D7932B4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  <w:p w14:paraId="2D9B2B76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Абзац «Внешние поставщики, которые относятся к критическим подлежат инспектированию только если они подпадают под определение производственной площадки» следует исключить, поскольку норма по обязательному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lastRenderedPageBreak/>
              <w:t xml:space="preserve">инспектированию критических поставщиков, юридически не закреплена в Решении совета ЕЭК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N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106.</w:t>
            </w:r>
          </w:p>
          <w:p w14:paraId="34DF2250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  <w:p w14:paraId="6F3425BC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92DC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  <w:lastRenderedPageBreak/>
              <w:t>В соответствии с пунктом 3 приложения к Решению Совета ЕЭК № 106 от 10.11.2017, критическим поставщиком признаётся внешний поставщик продукции, компонентов или услуг, оказывающих прямое влияние на безопасность и/или эффективность медицинского изделия. Такие поставщики подлежат особому контролю со стороны производителя в рамках системы менеджмента качества (СМК). Критический поставщик может участвовать в производственном процессе напрямую или косвенно, включая поставку компонентов, выполнение технологических операций, предоставление услуг, влияющих на характеристики изделия.</w:t>
            </w:r>
          </w:p>
          <w:p w14:paraId="7E46DB9C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  <w:p w14:paraId="7F63D9C4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Возможность проведения инспектирования критических поставщиков, а также критерии для принятия решения об их инспектировании, должны быть установлены в нормативных правовых актах ЕАЭС, а не в методических рекомендациях. Согласно Решению Совета ЕЭК N 106, «инспектирование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lastRenderedPageBreak/>
              <w:t xml:space="preserve">производства» 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- это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оценка условий производства и СМК производителя медицинского изделия (а не «третьих лиц», поставляющих производителю продукцию или 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услугу)  на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соответствие настоящим Требованиям. Определение производственной площадки установлено в Решениях Совета ЕЭК N 46 и N 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106  (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в 2016 и 2017 году, соответственно) и напрямую, не распространяется на поставщиков. </w:t>
            </w:r>
          </w:p>
          <w:p w14:paraId="34A63C33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  <w:p w14:paraId="68603E13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В международных нормах и правилах, никакой связи критических поставщиков с определением производственной площадки не существует. Внешние поставщики, которые относятся к критическим, подлежат инспектированию только если они подпадают под определение производственной площадки. Однако, национальное или региональное регулирование может установить требование по проверке поставщика. Например, это допускает документ GHTF/SG4/N84:2010 «Руководство по аудиту систем менеджмента качества изготовителей медицинских изделий на соответствие регулирующим требованиям. Часть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5.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Аудит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управления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поставщиками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» (GHTF/SG4/N84:2010 «Guidelines for regulatory auditing of quality management systems of medical device manufacturers – Part 5: Audits of Manufacturer Control of Suppliers»).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Документ принят в РФ как ГОСТ Р 55747—2013 и устанавливает критерии для принятия решения об аудите поставщика (см. п.4.2 Решение об аудите поставщиков)</w:t>
            </w:r>
          </w:p>
          <w:p w14:paraId="4F3A5F07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Возможность проведения инспектирования критических поставщиков, а также критерии для принятия решения об их инспектировании, должны быть установлены в актах ЕАЭС, а не в методических рекомендациях. Решение N 106 содержит требования по оценке условий производства и системы менеджмента качества производителя медицинского изделия и не устанавливает требования по оценке условий производства и системы менеджмента качества других юридических лиц. </w:t>
            </w:r>
          </w:p>
          <w:p w14:paraId="0D5C809D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Пункт 27 Решения N 106, определяет, что «Оценка процессов производства и выходного контроля медицинских изделий </w:t>
            </w: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lastRenderedPageBreak/>
              <w:t xml:space="preserve">включает в </w:t>
            </w:r>
            <w:proofErr w:type="gramStart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себя: ….</w:t>
            </w:r>
            <w:proofErr w:type="gramEnd"/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. подтверждение обеспечения необходимого уровня контроля продукции и (или) услуг критических поставщиков (перечисление в). Таким образом, установленное требование состоит именно в подтверждении того, что производитель установил необходимый уровня контроля, а не в выездной проверке «производственной площадки» (т.е. условий производства и системы менеджмента качества) поставщика. Вместе с тем, в течение 2024-го и 2025-го года проводятся выездные проверки поставщиков компонентов и комплектующих для нужд производителя, поскольку инспектирующие организации причисляют их к «производственным площадкам» производителя медицинского изделия.</w:t>
            </w:r>
          </w:p>
          <w:p w14:paraId="30BEBE2F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86F6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Согласно международным нормам, например, действующему в странах ЕАЭС межгосударственному стандарту на системы менеджмента качества производителей медицинских изделий (ГОСТ ISO 13485–2017), любые требования к поставщикам устанавливаются, проверяются и оцениваются самим производителем медицинских изделий (оценка «второй стороной»). Производитель медицинских изделий, в рамках своего процесса закупок, устанавливает конкретные, измеримые и подходящие для проверки требования к продукции или услуге своих поставщиков (включая, при необходимости, требования к производственному оборудованию и квалификации операторов станков) и сам проводит проверку их выполнения. Однако, в противовес международным нормам и правилам, по уже сложившейся практике национального инспектирования некоторых стран-членов, инспектирующие организации проверяют поставщиков производителя медицинских изделий на выполнение требований к самому производителю. Ценность результатов такого инспектирования с точки зрения обеспечения безопасности и эффективности медицинского изделия вызывает большие вопросы.</w:t>
            </w:r>
          </w:p>
          <w:p w14:paraId="2092DEED" w14:textId="77777777" w:rsidR="00C86F66" w:rsidRPr="00C86F66" w:rsidRDefault="00C86F66" w:rsidP="006F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</w:tbl>
    <w:p w14:paraId="4EC687AE" w14:textId="77777777" w:rsidR="00C86F66" w:rsidRPr="00E54533" w:rsidRDefault="00C86F66">
      <w:pPr>
        <w:rPr>
          <w:rFonts w:ascii="Times New Roman" w:hAnsi="Times New Roman" w:cs="Times New Roman"/>
          <w:sz w:val="24"/>
          <w:szCs w:val="24"/>
        </w:rPr>
      </w:pPr>
    </w:p>
    <w:sectPr w:rsidR="00C86F66" w:rsidRPr="00E54533" w:rsidSect="00C86F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66"/>
    <w:rsid w:val="00480C82"/>
    <w:rsid w:val="00614EC4"/>
    <w:rsid w:val="00C86F66"/>
    <w:rsid w:val="00D15085"/>
    <w:rsid w:val="00E54533"/>
    <w:rsid w:val="00E5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9FE1"/>
  <w15:chartTrackingRefBased/>
  <w15:docId w15:val="{F01BA4B3-D069-41B0-A550-3EA32B83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F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F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F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F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F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F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6F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F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6F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6F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6F6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8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86F6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86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r@amch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1641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 Maria</dc:creator>
  <cp:keywords/>
  <dc:description/>
  <cp:lastModifiedBy>Vlasova Maria</cp:lastModifiedBy>
  <cp:revision>2</cp:revision>
  <dcterms:created xsi:type="dcterms:W3CDTF">2025-12-26T12:59:00Z</dcterms:created>
  <dcterms:modified xsi:type="dcterms:W3CDTF">2025-12-26T14:10:00Z</dcterms:modified>
</cp:coreProperties>
</file>