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88E9" w14:textId="77777777" w:rsidR="00BC5842" w:rsidRPr="001014D0" w:rsidRDefault="00BC5842" w:rsidP="00BC5842">
      <w:pPr>
        <w:spacing w:before="600" w:after="360"/>
        <w:jc w:val="center"/>
        <w:outlineLvl w:val="4"/>
        <w:rPr>
          <w:rFonts w:eastAsia="Calibri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1014D0">
        <w:rPr>
          <w:rFonts w:ascii="Times New Roman Полужирный" w:hAnsi="Times New Roman Полужирный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1014D0">
        <w:rPr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1014D0">
        <w:rPr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1014D0">
        <w:rPr>
          <w:b/>
          <w:bCs/>
          <w:iCs/>
          <w:sz w:val="30"/>
          <w:szCs w:val="30"/>
          <w:lang w:eastAsia="x-none"/>
        </w:rPr>
        <w:t xml:space="preserve"> </w:t>
      </w:r>
      <w:r w:rsidRPr="001014D0">
        <w:rPr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14:paraId="13175061" w14:textId="77777777" w:rsidR="00BC5842" w:rsidRPr="001014D0" w:rsidRDefault="00BC5842" w:rsidP="00BC5842">
      <w:pPr>
        <w:jc w:val="center"/>
        <w:rPr>
          <w:rFonts w:eastAsia="Calibri"/>
          <w:b/>
          <w:sz w:val="26"/>
          <w:szCs w:val="26"/>
        </w:rPr>
      </w:pPr>
    </w:p>
    <w:p w14:paraId="007344ED" w14:textId="77777777" w:rsidR="00BC5842" w:rsidRPr="006946E7" w:rsidRDefault="00BC5842" w:rsidP="001014D0">
      <w:pPr>
        <w:jc w:val="center"/>
        <w:rPr>
          <w:sz w:val="28"/>
          <w:szCs w:val="28"/>
        </w:rPr>
      </w:pPr>
      <w:r w:rsidRPr="001014D0">
        <w:rPr>
          <w:sz w:val="28"/>
          <w:szCs w:val="28"/>
          <w:lang w:eastAsia="x-none"/>
        </w:rPr>
        <w:t xml:space="preserve">Наименование проекта решения: </w:t>
      </w:r>
      <w:r w:rsidR="001014D0" w:rsidRPr="001014D0">
        <w:rPr>
          <w:sz w:val="28"/>
          <w:szCs w:val="28"/>
        </w:rPr>
        <w:t>«</w:t>
      </w:r>
      <w:r w:rsidR="006946E7" w:rsidRPr="006946E7">
        <w:rPr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sz w:val="28"/>
          <w:szCs w:val="28"/>
        </w:rPr>
        <w:t>»</w:t>
      </w:r>
    </w:p>
    <w:p w14:paraId="6127E79A" w14:textId="77777777" w:rsidR="006856F8" w:rsidRPr="006946E7" w:rsidRDefault="006856F8" w:rsidP="001014D0">
      <w:pPr>
        <w:jc w:val="center"/>
        <w:rPr>
          <w:sz w:val="28"/>
          <w:szCs w:val="28"/>
        </w:rPr>
      </w:pPr>
    </w:p>
    <w:p w14:paraId="52ECDEEE" w14:textId="77777777" w:rsidR="00BC5842" w:rsidRPr="001014D0" w:rsidRDefault="00BC5842" w:rsidP="00BC5842">
      <w:pPr>
        <w:jc w:val="both"/>
        <w:rPr>
          <w:color w:val="FF0000"/>
          <w:sz w:val="26"/>
          <w:szCs w:val="26"/>
          <w:lang w:eastAsia="x-none"/>
        </w:rPr>
      </w:pPr>
    </w:p>
    <w:p w14:paraId="6431298C" w14:textId="77777777" w:rsidR="00BC5842" w:rsidRPr="001014D0" w:rsidRDefault="00BC5842" w:rsidP="00BC5842">
      <w:pPr>
        <w:spacing w:before="120" w:after="120"/>
        <w:jc w:val="center"/>
        <w:rPr>
          <w:b/>
          <w:sz w:val="26"/>
          <w:szCs w:val="26"/>
          <w:lang w:eastAsia="x-none"/>
        </w:rPr>
      </w:pPr>
      <w:r w:rsidRPr="001014D0">
        <w:rPr>
          <w:b/>
          <w:sz w:val="26"/>
          <w:szCs w:val="26"/>
          <w:lang w:val="en-US" w:eastAsia="x-none"/>
        </w:rPr>
        <w:t>I</w:t>
      </w:r>
      <w:r w:rsidRPr="001014D0">
        <w:rPr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1014D0">
        <w:rPr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b/>
          <w:sz w:val="26"/>
          <w:szCs w:val="26"/>
          <w:lang w:eastAsia="x-none"/>
        </w:rPr>
        <w:br/>
        <w:t>проекта решения ЕЭК</w:t>
      </w:r>
      <w:r w:rsidRPr="001014D0">
        <w:rPr>
          <w:b/>
          <w:sz w:val="26"/>
          <w:szCs w:val="26"/>
          <w:vertAlign w:val="superscript"/>
          <w:lang w:eastAsia="x-none"/>
        </w:rPr>
        <w:t>1</w:t>
      </w:r>
    </w:p>
    <w:p w14:paraId="4D13DEF0" w14:textId="77777777" w:rsidR="00BC5842" w:rsidRPr="00036C06" w:rsidRDefault="00BC5842" w:rsidP="00BC5842">
      <w:pPr>
        <w:jc w:val="both"/>
        <w:rPr>
          <w:b/>
          <w:sz w:val="26"/>
          <w:szCs w:val="26"/>
          <w:lang w:eastAsia="x-none"/>
        </w:rPr>
      </w:pPr>
    </w:p>
    <w:p w14:paraId="0E5C796D" w14:textId="77777777" w:rsidR="006856F8" w:rsidRPr="00036C06" w:rsidRDefault="006856F8" w:rsidP="00BC5842">
      <w:pPr>
        <w:jc w:val="both"/>
        <w:rPr>
          <w:b/>
          <w:sz w:val="26"/>
          <w:szCs w:val="26"/>
          <w:lang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036C06" w14:paraId="0A9FDE58" w14:textId="77777777" w:rsidTr="00516908">
        <w:tc>
          <w:tcPr>
            <w:tcW w:w="3578" w:type="dxa"/>
          </w:tcPr>
          <w:p w14:paraId="0CAB1514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14:paraId="1A5468E0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14:paraId="33480D3A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036C06">
              <w:rPr>
                <w:sz w:val="25"/>
                <w:szCs w:val="25"/>
                <w:lang w:val="x-none" w:eastAsia="x-none"/>
              </w:rPr>
              <w:t>Начало</w:t>
            </w:r>
            <w:r w:rsidRPr="00036C06">
              <w:rPr>
                <w:sz w:val="25"/>
                <w:szCs w:val="25"/>
                <w:lang w:eastAsia="x-none"/>
              </w:rPr>
              <w:t>: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«</w:t>
            </w:r>
            <w:r w:rsidR="00036C06" w:rsidRPr="00036C06">
              <w:rPr>
                <w:sz w:val="25"/>
                <w:szCs w:val="25"/>
                <w:lang w:eastAsia="x-none"/>
              </w:rPr>
              <w:t>18</w:t>
            </w:r>
            <w:r w:rsidRPr="00036C06">
              <w:rPr>
                <w:sz w:val="25"/>
                <w:szCs w:val="25"/>
                <w:lang w:val="x-none" w:eastAsia="x-none"/>
              </w:rPr>
              <w:t>»</w:t>
            </w:r>
            <w:r w:rsidRPr="00036C06">
              <w:rPr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z w:val="25"/>
                <w:szCs w:val="25"/>
                <w:lang w:eastAsia="x-none"/>
              </w:rPr>
              <w:t>февраля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20</w:t>
            </w:r>
            <w:r w:rsidR="00036C06" w:rsidRPr="00036C06">
              <w:rPr>
                <w:sz w:val="25"/>
                <w:szCs w:val="25"/>
                <w:lang w:eastAsia="x-none"/>
              </w:rPr>
              <w:t>21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14:paraId="6E303838" w14:textId="77777777"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14:paraId="4AE9A77E" w14:textId="77777777"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14:paraId="00CB5D07" w14:textId="77777777"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  <w:r w:rsidR="009F644C" w:rsidRPr="00036C06">
              <w:t xml:space="preserve"> </w:t>
            </w:r>
          </w:p>
          <w:p w14:paraId="14BC7744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14:paraId="1D381524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Pr="00036C06">
              <w:rPr>
                <w:sz w:val="25"/>
                <w:szCs w:val="25"/>
              </w:rPr>
              <w:t xml:space="preserve"> 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14:paraId="0B8FD638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14:paraId="2819CCCB" w14:textId="77777777"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>+7(495)</w:t>
            </w:r>
            <w:r w:rsidR="006856F8" w:rsidRPr="00036C06">
              <w:rPr>
                <w:sz w:val="26"/>
                <w:szCs w:val="26"/>
                <w:u w:val="single"/>
              </w:rPr>
              <w:t xml:space="preserve"> </w:t>
            </w:r>
            <w:r w:rsidR="009F644C" w:rsidRPr="00036C06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14:paraId="00D24A8D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</w:t>
            </w:r>
          </w:p>
          <w:p w14:paraId="1E82A0EF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  <w:lang w:eastAsia="x-none"/>
              </w:rPr>
              <w:t>__</w:t>
            </w:r>
          </w:p>
          <w:p w14:paraId="1464B846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  <w:lang w:val="x-none" w:eastAsia="x-non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</w:p>
          <w:p w14:paraId="76FE08AD" w14:textId="77777777" w:rsidR="00BC5842" w:rsidRPr="00036C06" w:rsidRDefault="00366FB1" w:rsidP="009F644C">
            <w:pPr>
              <w:ind w:left="170"/>
              <w:jc w:val="both"/>
              <w:rPr>
                <w:sz w:val="26"/>
                <w:szCs w:val="26"/>
                <w:lang w:eastAsia="x-none"/>
              </w:rPr>
            </w:pPr>
            <w:hyperlink r:id="rId10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14:paraId="3221956F" w14:textId="77777777" w:rsidR="00BC5842" w:rsidRPr="001014D0" w:rsidRDefault="00BC5842" w:rsidP="00BC5842">
      <w:pPr>
        <w:jc w:val="both"/>
        <w:rPr>
          <w:b/>
          <w:color w:val="FF0000"/>
          <w:sz w:val="26"/>
          <w:szCs w:val="26"/>
          <w:lang w:val="x-none" w:eastAsia="x-none"/>
        </w:rPr>
      </w:pPr>
    </w:p>
    <w:p w14:paraId="4D6E9765" w14:textId="59F7216F" w:rsidR="00616DA0" w:rsidRDefault="00616DA0" w:rsidP="00BC5842">
      <w:pPr>
        <w:spacing w:before="120" w:after="240"/>
        <w:jc w:val="center"/>
        <w:rPr>
          <w:b/>
          <w:sz w:val="26"/>
          <w:szCs w:val="26"/>
          <w:lang w:val="en-US" w:eastAsia="x-none"/>
        </w:rPr>
      </w:pPr>
    </w:p>
    <w:p w14:paraId="78CA8FCA" w14:textId="2D9F9B30" w:rsidR="00820D83" w:rsidRDefault="00820D83" w:rsidP="00BC5842">
      <w:pPr>
        <w:spacing w:before="120" w:after="240"/>
        <w:jc w:val="center"/>
        <w:rPr>
          <w:b/>
          <w:sz w:val="26"/>
          <w:szCs w:val="26"/>
          <w:lang w:val="en-US" w:eastAsia="x-none"/>
        </w:rPr>
      </w:pPr>
    </w:p>
    <w:p w14:paraId="5F1155EE" w14:textId="77777777" w:rsidR="00433727" w:rsidRDefault="00433727" w:rsidP="00BC5842">
      <w:pPr>
        <w:spacing w:before="120" w:after="240"/>
        <w:jc w:val="center"/>
        <w:rPr>
          <w:b/>
          <w:sz w:val="26"/>
          <w:szCs w:val="26"/>
          <w:lang w:val="en-US" w:eastAsia="x-none"/>
        </w:rPr>
      </w:pPr>
    </w:p>
    <w:p w14:paraId="26B2CFE4" w14:textId="77777777" w:rsidR="00BC5842" w:rsidRPr="001014D0" w:rsidRDefault="00BC5842" w:rsidP="00BC5842">
      <w:pPr>
        <w:spacing w:before="120" w:after="240"/>
        <w:jc w:val="center"/>
        <w:rPr>
          <w:b/>
          <w:sz w:val="26"/>
          <w:szCs w:val="26"/>
          <w:lang w:eastAsia="x-none"/>
        </w:rPr>
      </w:pPr>
      <w:r w:rsidRPr="001014D0">
        <w:rPr>
          <w:b/>
          <w:sz w:val="26"/>
          <w:szCs w:val="26"/>
          <w:lang w:val="en-US" w:eastAsia="x-none"/>
        </w:rPr>
        <w:lastRenderedPageBreak/>
        <w:t>II</w:t>
      </w:r>
      <w:r w:rsidRPr="001014D0">
        <w:rPr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1014D0">
        <w:rPr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1014D0">
        <w:rPr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1014D0" w14:paraId="04BDBC94" w14:textId="77777777" w:rsidTr="00E61611">
        <w:tc>
          <w:tcPr>
            <w:tcW w:w="4385" w:type="dxa"/>
          </w:tcPr>
          <w:p w14:paraId="34DE1B45" w14:textId="77777777" w:rsidR="00BC5842" w:rsidRPr="000C5F97" w:rsidRDefault="00BC5842" w:rsidP="00BC5842">
            <w:pPr>
              <w:ind w:left="-57"/>
              <w:jc w:val="both"/>
              <w:rPr>
                <w:b/>
                <w:sz w:val="26"/>
                <w:szCs w:val="26"/>
                <w:lang w:val="x-none" w:eastAsia="x-none"/>
              </w:rPr>
            </w:pPr>
            <w:r w:rsidRPr="000C5F97">
              <w:rPr>
                <w:b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0C5F97">
              <w:rPr>
                <w:b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0C5F97">
              <w:rPr>
                <w:b/>
                <w:sz w:val="26"/>
                <w:szCs w:val="26"/>
                <w:lang w:val="x-none" w:eastAsia="x-none"/>
              </w:rPr>
              <w:t>, представивш</w:t>
            </w:r>
            <w:r w:rsidRPr="000C5F97">
              <w:rPr>
                <w:b/>
                <w:sz w:val="26"/>
                <w:szCs w:val="26"/>
                <w:lang w:eastAsia="x-none"/>
              </w:rPr>
              <w:t>их</w:t>
            </w:r>
            <w:r w:rsidRPr="000C5F97">
              <w:rPr>
                <w:b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14:paraId="47C8FDCF" w14:textId="26783836" w:rsidR="00BC5842" w:rsidRPr="000C5F97" w:rsidRDefault="00986F79" w:rsidP="00986F79">
            <w:pPr>
              <w:rPr>
                <w:sz w:val="26"/>
                <w:szCs w:val="26"/>
                <w:lang w:val="ky-KG" w:eastAsia="x-none"/>
              </w:rPr>
            </w:pPr>
            <w:r w:rsidRPr="000C5F97">
              <w:rPr>
                <w:sz w:val="26"/>
                <w:szCs w:val="26"/>
                <w:lang w:val="ky-KG" w:eastAsia="x-none"/>
              </w:rPr>
              <w:t>Торгово-промышленная палата Кыргызской Республики</w:t>
            </w:r>
          </w:p>
        </w:tc>
      </w:tr>
      <w:tr w:rsidR="00820D83" w:rsidRPr="001014D0" w14:paraId="11CC04C6" w14:textId="77777777" w:rsidTr="00E61611">
        <w:tc>
          <w:tcPr>
            <w:tcW w:w="4385" w:type="dxa"/>
          </w:tcPr>
          <w:p w14:paraId="7DF82D17" w14:textId="77777777" w:rsidR="00820D83" w:rsidRPr="000C5F97" w:rsidRDefault="00820D83" w:rsidP="00820D83">
            <w:pPr>
              <w:ind w:left="-57"/>
              <w:jc w:val="both"/>
              <w:rPr>
                <w:b/>
                <w:sz w:val="26"/>
                <w:szCs w:val="26"/>
                <w:lang w:val="x-none" w:eastAsia="x-none"/>
              </w:rPr>
            </w:pPr>
            <w:r w:rsidRPr="000C5F97">
              <w:rPr>
                <w:b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0C5F97">
              <w:rPr>
                <w:b/>
                <w:sz w:val="26"/>
                <w:szCs w:val="26"/>
                <w:lang w:eastAsia="x-none"/>
              </w:rPr>
              <w:t>их</w:t>
            </w:r>
            <w:r w:rsidRPr="000C5F97">
              <w:rPr>
                <w:b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14:paraId="34E6B574" w14:textId="48F7394D" w:rsidR="00820D83" w:rsidRPr="000C5F97" w:rsidRDefault="00986F79" w:rsidP="00986F79">
            <w:pPr>
              <w:rPr>
                <w:rFonts w:eastAsiaTheme="minorHAnsi"/>
                <w:sz w:val="26"/>
                <w:szCs w:val="26"/>
                <w:lang w:val="ky-KG" w:eastAsia="x-none"/>
              </w:rPr>
            </w:pPr>
            <w:r w:rsidRPr="000C5F97">
              <w:rPr>
                <w:rFonts w:eastAsiaTheme="minorHAnsi"/>
                <w:sz w:val="26"/>
                <w:szCs w:val="26"/>
                <w:lang w:val="ky-KG" w:eastAsia="x-none"/>
              </w:rPr>
              <w:t>ТПП КР</w:t>
            </w:r>
          </w:p>
        </w:tc>
      </w:tr>
      <w:tr w:rsidR="00820D83" w:rsidRPr="001014D0" w14:paraId="2AAED998" w14:textId="77777777" w:rsidTr="00E61611">
        <w:tc>
          <w:tcPr>
            <w:tcW w:w="4385" w:type="dxa"/>
          </w:tcPr>
          <w:p w14:paraId="5ADFED67" w14:textId="77777777" w:rsidR="00820D83" w:rsidRPr="000C5F97" w:rsidRDefault="00820D83" w:rsidP="00820D83">
            <w:pPr>
              <w:ind w:left="-57"/>
              <w:jc w:val="both"/>
              <w:rPr>
                <w:b/>
                <w:sz w:val="26"/>
                <w:szCs w:val="26"/>
                <w:lang w:eastAsia="x-none"/>
              </w:rPr>
            </w:pPr>
            <w:r w:rsidRPr="000C5F97">
              <w:rPr>
                <w:b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0C5F97">
              <w:rPr>
                <w:b/>
                <w:sz w:val="26"/>
                <w:szCs w:val="26"/>
                <w:lang w:eastAsia="x-none"/>
              </w:rPr>
              <w:t>ответственного за контакты</w:t>
            </w:r>
            <w:r w:rsidRPr="000C5F97">
              <w:rPr>
                <w:b/>
                <w:sz w:val="26"/>
                <w:szCs w:val="26"/>
                <w:lang w:val="x-none" w:eastAsia="x-none"/>
              </w:rPr>
              <w:t xml:space="preserve"> лица</w:t>
            </w:r>
            <w:r w:rsidRPr="000C5F97">
              <w:rPr>
                <w:b/>
                <w:sz w:val="26"/>
                <w:szCs w:val="26"/>
                <w:lang w:eastAsia="x-none"/>
              </w:rPr>
              <w:t xml:space="preserve"> </w:t>
            </w:r>
            <w:r w:rsidRPr="000C5F97">
              <w:rPr>
                <w:b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14:paraId="5BA38193" w14:textId="6D113A51" w:rsidR="00820D83" w:rsidRPr="000C5F97" w:rsidRDefault="00986F79" w:rsidP="00986F79">
            <w:pPr>
              <w:rPr>
                <w:sz w:val="26"/>
                <w:szCs w:val="26"/>
                <w:lang w:val="ky-KG" w:eastAsia="x-none"/>
              </w:rPr>
            </w:pPr>
            <w:r w:rsidRPr="000C5F97">
              <w:rPr>
                <w:sz w:val="26"/>
                <w:szCs w:val="26"/>
                <w:lang w:val="ky-KG" w:eastAsia="x-none"/>
              </w:rPr>
              <w:t>Рустам Балтабаев, Руководитель Департамента развития ТПП КР</w:t>
            </w:r>
          </w:p>
        </w:tc>
      </w:tr>
      <w:tr w:rsidR="00820D83" w:rsidRPr="001014D0" w14:paraId="191FBCD3" w14:textId="77777777" w:rsidTr="00E61611">
        <w:tc>
          <w:tcPr>
            <w:tcW w:w="4385" w:type="dxa"/>
          </w:tcPr>
          <w:p w14:paraId="10DE52FF" w14:textId="77777777" w:rsidR="00820D83" w:rsidRPr="000C5F97" w:rsidRDefault="00820D83" w:rsidP="00820D83">
            <w:pPr>
              <w:ind w:left="-57"/>
              <w:jc w:val="both"/>
              <w:rPr>
                <w:b/>
                <w:sz w:val="26"/>
                <w:szCs w:val="26"/>
                <w:lang w:val="x-none" w:eastAsia="x-none"/>
              </w:rPr>
            </w:pPr>
            <w:r w:rsidRPr="000C5F97">
              <w:rPr>
                <w:b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14:paraId="3C22ABA5" w14:textId="0A241739" w:rsidR="00820D83" w:rsidRPr="000C5F97" w:rsidRDefault="00986F79" w:rsidP="00820D83">
            <w:pPr>
              <w:jc w:val="both"/>
              <w:rPr>
                <w:sz w:val="26"/>
                <w:szCs w:val="26"/>
                <w:lang w:val="ky-KG" w:eastAsia="x-none"/>
              </w:rPr>
            </w:pPr>
            <w:r w:rsidRPr="000C5F97">
              <w:rPr>
                <w:sz w:val="26"/>
                <w:szCs w:val="26"/>
                <w:lang w:val="ky-KG" w:eastAsia="x-none"/>
              </w:rPr>
              <w:t>+996 312 610173</w:t>
            </w:r>
          </w:p>
        </w:tc>
      </w:tr>
      <w:tr w:rsidR="00820D83" w:rsidRPr="001014D0" w14:paraId="0C41F4C1" w14:textId="77777777" w:rsidTr="00E61611">
        <w:tc>
          <w:tcPr>
            <w:tcW w:w="4385" w:type="dxa"/>
            <w:tcBorders>
              <w:bottom w:val="single" w:sz="4" w:space="0" w:color="auto"/>
            </w:tcBorders>
          </w:tcPr>
          <w:p w14:paraId="719BA2FF" w14:textId="77777777" w:rsidR="00820D83" w:rsidRPr="000C5F97" w:rsidRDefault="00820D83" w:rsidP="00820D83">
            <w:pPr>
              <w:ind w:left="-57"/>
              <w:jc w:val="both"/>
              <w:rPr>
                <w:b/>
                <w:sz w:val="26"/>
                <w:szCs w:val="26"/>
                <w:lang w:val="x-none" w:eastAsia="x-none"/>
              </w:rPr>
            </w:pPr>
            <w:r w:rsidRPr="000C5F97">
              <w:rPr>
                <w:b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C90140" w14:textId="259BA579" w:rsidR="00820D83" w:rsidRPr="000C5F97" w:rsidRDefault="00986F79" w:rsidP="00820D83">
            <w:pPr>
              <w:jc w:val="both"/>
              <w:rPr>
                <w:sz w:val="26"/>
                <w:szCs w:val="26"/>
                <w:lang w:val="en-US" w:eastAsia="x-none"/>
              </w:rPr>
            </w:pPr>
            <w:r w:rsidRPr="000C5F97">
              <w:rPr>
                <w:sz w:val="26"/>
                <w:szCs w:val="26"/>
                <w:lang w:val="en-US" w:eastAsia="x-none"/>
              </w:rPr>
              <w:t>strategy@cci.kg</w:t>
            </w:r>
          </w:p>
        </w:tc>
      </w:tr>
      <w:tr w:rsidR="00820D83" w:rsidRPr="001014D0" w14:paraId="06BFA764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7575E" w14:textId="77777777" w:rsidR="00820D83" w:rsidRPr="001014D0" w:rsidRDefault="00820D83" w:rsidP="00820D83">
            <w:pPr>
              <w:spacing w:before="240" w:after="240"/>
              <w:jc w:val="center"/>
              <w:rPr>
                <w:b/>
                <w:i/>
                <w:color w:val="FF0000"/>
                <w:sz w:val="26"/>
                <w:szCs w:val="26"/>
                <w:lang w:eastAsia="x-none"/>
              </w:rPr>
            </w:pPr>
            <w:r w:rsidRPr="001014D0">
              <w:rPr>
                <w:b/>
                <w:sz w:val="26"/>
                <w:szCs w:val="26"/>
                <w:lang w:val="en-US" w:eastAsia="x-none"/>
              </w:rPr>
              <w:t>III</w:t>
            </w:r>
            <w:r w:rsidRPr="001014D0">
              <w:rPr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1014D0">
              <w:rPr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1014D0">
              <w:rPr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820D83" w:rsidRPr="001014D0" w14:paraId="71D73B14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4C92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eastAsia="x-none"/>
              </w:rPr>
              <w:t>1. 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1014D0">
              <w:rPr>
                <w:sz w:val="26"/>
                <w:szCs w:val="26"/>
                <w:lang w:eastAsia="x-none"/>
              </w:rPr>
              <w:t>обусловило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приняти</w:t>
            </w:r>
            <w:r w:rsidRPr="001014D0">
              <w:rPr>
                <w:sz w:val="26"/>
                <w:szCs w:val="26"/>
                <w:lang w:eastAsia="x-none"/>
              </w:rPr>
              <w:t>е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1014D0">
              <w:rPr>
                <w:sz w:val="26"/>
                <w:szCs w:val="26"/>
                <w:lang w:eastAsia="x-none"/>
              </w:rPr>
              <w:t xml:space="preserve"> 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1014D0">
              <w:rPr>
                <w:sz w:val="26"/>
                <w:szCs w:val="26"/>
                <w:lang w:eastAsia="x-none"/>
              </w:rPr>
              <w:t xml:space="preserve">определена </w:t>
            </w:r>
            <w:r w:rsidRPr="001014D0">
              <w:rPr>
                <w:sz w:val="26"/>
                <w:szCs w:val="26"/>
                <w:lang w:val="x-none" w:eastAsia="x-none"/>
              </w:rPr>
              <w:t>проблем</w:t>
            </w:r>
            <w:r w:rsidRPr="001014D0">
              <w:rPr>
                <w:sz w:val="26"/>
                <w:szCs w:val="26"/>
                <w:lang w:eastAsia="x-none"/>
              </w:rPr>
              <w:t>а</w:t>
            </w:r>
            <w:r w:rsidRPr="001014D0">
              <w:rPr>
                <w:sz w:val="26"/>
                <w:szCs w:val="26"/>
                <w:lang w:val="x-none" w:eastAsia="x-none"/>
              </w:rPr>
              <w:t>, для решения которой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1014D0">
              <w:rPr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1014D0">
              <w:rPr>
                <w:sz w:val="26"/>
                <w:szCs w:val="26"/>
                <w:lang w:val="x-none" w:eastAsia="x-none"/>
              </w:rPr>
              <w:t>?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2239DA" w:rsidRPr="006B673E" w14:paraId="19DF76B7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5764" w14:textId="021FE3D0" w:rsidR="002239DA" w:rsidRPr="003C1304" w:rsidRDefault="002239DA" w:rsidP="002239D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 w:rsidRPr="003C1304">
              <w:rPr>
                <w:i/>
                <w:iCs/>
                <w:sz w:val="26"/>
                <w:szCs w:val="26"/>
                <w:lang w:eastAsia="x-none"/>
              </w:rPr>
              <w:t>Принятие подзаконных актов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 xml:space="preserve"> обусловлено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 xml:space="preserve"> пунктом 12 технического регламента Евразийского экономического союза «О безопасности химической продукции» (ТР ЕАЭС 041/2017)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 xml:space="preserve">,в  котором требуется, чтобы 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>Евразийск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>ая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 xml:space="preserve"> экономическ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>ая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 xml:space="preserve"> комисси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>я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 xml:space="preserve"> устан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 xml:space="preserve">овила 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>порядок формирования и ведения реестра химических веществ и смесей ЕАЭС.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 xml:space="preserve"> Исходя из данного требования, пр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>облема</w:t>
            </w:r>
            <w:r w:rsidR="003C1304" w:rsidRPr="003C1304">
              <w:rPr>
                <w:i/>
                <w:iCs/>
                <w:sz w:val="26"/>
                <w:szCs w:val="26"/>
                <w:lang w:eastAsia="x-none"/>
              </w:rPr>
              <w:t xml:space="preserve"> </w:t>
            </w:r>
            <w:r w:rsidRPr="003C1304">
              <w:rPr>
                <w:i/>
                <w:iCs/>
                <w:sz w:val="26"/>
                <w:szCs w:val="26"/>
                <w:lang w:eastAsia="x-none"/>
              </w:rPr>
              <w:t>определена точно.</w:t>
            </w:r>
          </w:p>
        </w:tc>
      </w:tr>
      <w:tr w:rsidR="002239DA" w:rsidRPr="001014D0" w14:paraId="4340C28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06B9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eastAsia="x-none"/>
              </w:rPr>
              <w:t>2. 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2239DA" w:rsidRPr="006B673E" w14:paraId="53A6411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3872" w14:textId="7B7D2535" w:rsidR="002239DA" w:rsidRPr="006B673E" w:rsidRDefault="003C1304" w:rsidP="002239DA">
            <w:pPr>
              <w:spacing w:before="240" w:after="240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Ц</w:t>
            </w:r>
            <w:r w:rsidR="002239DA" w:rsidRPr="006B673E">
              <w:rPr>
                <w:bCs/>
                <w:i/>
                <w:iCs/>
                <w:sz w:val="26"/>
                <w:szCs w:val="26"/>
              </w:rPr>
              <w:t xml:space="preserve">ель разработки проекта решения ЕЭК полностью соответствует сложившейся ситуации.  </w:t>
            </w:r>
          </w:p>
        </w:tc>
      </w:tr>
      <w:tr w:rsidR="002239DA" w:rsidRPr="001014D0" w14:paraId="61EE90DF" w14:textId="77777777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A4E4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eastAsia="x-none"/>
              </w:rPr>
              <w:t>3. 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1014D0">
              <w:rPr>
                <w:sz w:val="26"/>
                <w:szCs w:val="26"/>
                <w:lang w:eastAsia="x-none"/>
              </w:rPr>
              <w:t>департаментом-</w:t>
            </w:r>
            <w:r w:rsidRPr="001014D0">
              <w:rPr>
                <w:sz w:val="26"/>
                <w:szCs w:val="26"/>
                <w:lang w:val="x-none" w:eastAsia="x-none"/>
              </w:rPr>
              <w:t>разработчик</w:t>
            </w:r>
            <w:r w:rsidRPr="001014D0">
              <w:rPr>
                <w:sz w:val="26"/>
                <w:szCs w:val="26"/>
                <w:lang w:eastAsia="x-none"/>
              </w:rPr>
              <w:t>ом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определ</w:t>
            </w:r>
            <w:r w:rsidRPr="001014D0">
              <w:rPr>
                <w:sz w:val="26"/>
                <w:szCs w:val="26"/>
                <w:lang w:eastAsia="x-none"/>
              </w:rPr>
              <w:t>ена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групп</w:t>
            </w:r>
            <w:r w:rsidRPr="001014D0">
              <w:rPr>
                <w:sz w:val="26"/>
                <w:szCs w:val="26"/>
                <w:lang w:eastAsia="x-none"/>
              </w:rPr>
              <w:t>а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лиц,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а также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адресат</w:t>
            </w:r>
            <w:r w:rsidRPr="001014D0">
              <w:rPr>
                <w:sz w:val="26"/>
                <w:szCs w:val="26"/>
                <w:lang w:eastAsia="x-none"/>
              </w:rPr>
              <w:t>ы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1014D0" w:rsidDel="0076303E">
              <w:rPr>
                <w:sz w:val="26"/>
                <w:szCs w:val="26"/>
                <w:lang w:val="x-none"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в том числе субъект</w:t>
            </w:r>
            <w:r w:rsidRPr="001014D0">
              <w:rPr>
                <w:sz w:val="26"/>
                <w:szCs w:val="26"/>
                <w:lang w:eastAsia="x-none"/>
              </w:rPr>
              <w:t>ы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2239DA" w:rsidRPr="006B673E" w14:paraId="52DAA581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B73F" w14:textId="6B38F7D1" w:rsidR="002239DA" w:rsidRPr="006B673E" w:rsidRDefault="003C1304" w:rsidP="002239DA">
            <w:pPr>
              <w:spacing w:before="240" w:after="24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Полагаем, </w:t>
            </w:r>
            <w:r w:rsidR="002239DA" w:rsidRPr="006B673E">
              <w:rPr>
                <w:i/>
                <w:iCs/>
                <w:sz w:val="26"/>
                <w:szCs w:val="26"/>
              </w:rPr>
              <w:t xml:space="preserve">что группа лиц, определенная департаментом-разработчиком, указана точно. </w:t>
            </w:r>
          </w:p>
        </w:tc>
      </w:tr>
      <w:tr w:rsidR="002239DA" w:rsidRPr="001014D0" w14:paraId="551440ED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39DB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lastRenderedPageBreak/>
              <w:t>4.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 уровне </w:t>
            </w:r>
            <w:r w:rsidRPr="001014D0">
              <w:rPr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1014D0">
              <w:rPr>
                <w:sz w:val="26"/>
                <w:szCs w:val="26"/>
                <w:lang w:val="x-none" w:eastAsia="x-none"/>
              </w:rPr>
              <w:t>(в том числе по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действующим </w:t>
            </w:r>
            <w:r w:rsidRPr="001014D0">
              <w:rPr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)?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2239DA" w:rsidRPr="006B673E" w14:paraId="2C93D0E2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B10C" w14:textId="74798D40" w:rsidR="002239DA" w:rsidRPr="006B673E" w:rsidRDefault="002239DA" w:rsidP="002239D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 w:rsidRPr="006B673E">
              <w:rPr>
                <w:i/>
                <w:iCs/>
                <w:sz w:val="26"/>
                <w:szCs w:val="26"/>
                <w:lang w:eastAsia="x-none"/>
              </w:rPr>
              <w:t xml:space="preserve">Принятие данного Решения ЕЭК </w:t>
            </w:r>
            <w:r w:rsidR="0038619B">
              <w:rPr>
                <w:i/>
                <w:iCs/>
                <w:sz w:val="26"/>
                <w:szCs w:val="26"/>
                <w:lang w:eastAsia="x-none"/>
              </w:rPr>
              <w:t xml:space="preserve">будет способствовать </w:t>
            </w:r>
            <w:r w:rsidRPr="006B673E">
              <w:rPr>
                <w:i/>
                <w:iCs/>
                <w:sz w:val="26"/>
                <w:szCs w:val="26"/>
                <w:lang w:eastAsia="x-none"/>
              </w:rPr>
              <w:t xml:space="preserve">созданию </w:t>
            </w:r>
            <w:r w:rsidRPr="006B673E">
              <w:rPr>
                <w:i/>
                <w:iCs/>
                <w:sz w:val="26"/>
                <w:szCs w:val="26"/>
              </w:rPr>
              <w:t>единых подходов и требований к формированию</w:t>
            </w:r>
            <w:r w:rsidR="0038619B">
              <w:rPr>
                <w:i/>
                <w:iCs/>
                <w:sz w:val="26"/>
                <w:szCs w:val="26"/>
              </w:rPr>
              <w:t xml:space="preserve"> и</w:t>
            </w:r>
            <w:r w:rsidRPr="006B673E">
              <w:rPr>
                <w:i/>
                <w:iCs/>
                <w:sz w:val="26"/>
                <w:szCs w:val="26"/>
              </w:rPr>
              <w:t xml:space="preserve"> ведению национальных частей Реестра,</w:t>
            </w:r>
            <w:r w:rsidR="0038619B">
              <w:rPr>
                <w:i/>
                <w:iCs/>
                <w:sz w:val="26"/>
                <w:szCs w:val="26"/>
              </w:rPr>
              <w:t xml:space="preserve"> наполнению Реестра Союза, </w:t>
            </w:r>
            <w:r w:rsidRPr="006B673E">
              <w:rPr>
                <w:i/>
                <w:iCs/>
                <w:sz w:val="26"/>
                <w:szCs w:val="26"/>
              </w:rPr>
              <w:t xml:space="preserve">единых правил </w:t>
            </w:r>
            <w:r w:rsidR="0038619B">
              <w:rPr>
                <w:i/>
                <w:iCs/>
                <w:sz w:val="26"/>
                <w:szCs w:val="26"/>
              </w:rPr>
              <w:t xml:space="preserve">регистрации химической продукции и </w:t>
            </w:r>
            <w:r w:rsidRPr="006B673E">
              <w:rPr>
                <w:i/>
                <w:iCs/>
                <w:sz w:val="26"/>
                <w:szCs w:val="26"/>
              </w:rPr>
              <w:t xml:space="preserve">нотификации новых химических веществ, а также к классификации химических веществ, находящихся в обороте на территории ЕАЭС. </w:t>
            </w:r>
          </w:p>
        </w:tc>
      </w:tr>
      <w:tr w:rsidR="002239DA" w:rsidRPr="001014D0" w14:paraId="3B9256B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86E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5.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вариант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1014D0">
              <w:rPr>
                <w:sz w:val="26"/>
                <w:szCs w:val="26"/>
                <w:lang w:eastAsia="x-none"/>
              </w:rPr>
              <w:t>вариантов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14:paraId="389EB4FE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1014D0">
              <w:rPr>
                <w:sz w:val="26"/>
                <w:szCs w:val="26"/>
                <w:lang w:eastAsia="x-none"/>
              </w:rPr>
              <w:t>.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2239DA" w:rsidRPr="006B673E" w14:paraId="01A3DC13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1155" w14:textId="56F7B710" w:rsidR="002239DA" w:rsidRPr="00AC3CCF" w:rsidRDefault="002239DA" w:rsidP="002239DA">
            <w:pPr>
              <w:spacing w:before="240" w:after="240"/>
              <w:jc w:val="both"/>
              <w:rPr>
                <w:color w:val="000000" w:themeColor="text1"/>
                <w:sz w:val="26"/>
                <w:szCs w:val="26"/>
              </w:rPr>
            </w:pPr>
            <w:r w:rsidRPr="00AC3CCF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 xml:space="preserve">Предусмотренный проектом решения ЕЭК вариант является оптимальным, однако ряд позиций в 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Перечне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1), следует привести в соответствие с международной практикой.  </w:t>
            </w:r>
            <w:r w:rsidR="00E4576D">
              <w:rPr>
                <w:i/>
                <w:iCs/>
                <w:color w:val="000000" w:themeColor="text1"/>
                <w:sz w:val="26"/>
                <w:szCs w:val="26"/>
              </w:rPr>
              <w:t>Иначе это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 приведет к возникновению торговых барьеров с третьими странами</w:t>
            </w:r>
            <w:r w:rsidR="00E4576D">
              <w:rPr>
                <w:i/>
                <w:iCs/>
                <w:color w:val="000000" w:themeColor="text1"/>
                <w:sz w:val="26"/>
                <w:szCs w:val="26"/>
              </w:rPr>
              <w:t xml:space="preserve"> и 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>повлияет на условия ведения предпринимательской деятельности,</w:t>
            </w:r>
            <w:r w:rsidRPr="00AC3CCF">
              <w:rPr>
                <w:rStyle w:val="apple-converted-space"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>а также потребует серьезных финансовых затрат на приведение производственной деятельности в соответствие с дополнительными требованиями, обусловленными работой с веществами, относящимися к канцерогенам, мутагенам и веществам, воздействующим на репродуктивную функцию и обладающих хронической токсичностью для водной среды (класс 1).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 Б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олее подробно см. п. 11 Опросного листа. </w:t>
            </w:r>
          </w:p>
        </w:tc>
      </w:tr>
      <w:tr w:rsidR="002239DA" w:rsidRPr="001014D0" w14:paraId="24947ED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717D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6.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Какие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1014D0">
              <w:rPr>
                <w:sz w:val="26"/>
                <w:szCs w:val="26"/>
                <w:lang w:eastAsia="x-none"/>
              </w:rPr>
              <w:t>ить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2239DA" w:rsidRPr="006B673E" w14:paraId="59B098F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AB96" w14:textId="15BE0548" w:rsidR="002239DA" w:rsidRPr="006B673E" w:rsidRDefault="00E4576D" w:rsidP="002239D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>
              <w:rPr>
                <w:i/>
                <w:iCs/>
                <w:sz w:val="26"/>
                <w:szCs w:val="26"/>
                <w:lang w:eastAsia="x-none"/>
              </w:rPr>
              <w:t xml:space="preserve">Несовпадение </w:t>
            </w:r>
            <w:r w:rsidR="002239DA" w:rsidRPr="006B673E">
              <w:rPr>
                <w:i/>
                <w:iCs/>
                <w:sz w:val="26"/>
                <w:szCs w:val="26"/>
                <w:lang w:eastAsia="x-none"/>
              </w:rPr>
              <w:t xml:space="preserve">в классификации химических веществ по классу опасности в </w:t>
            </w:r>
            <w:r w:rsidR="002239DA" w:rsidRPr="006B673E">
              <w:rPr>
                <w:i/>
                <w:iCs/>
                <w:sz w:val="26"/>
                <w:szCs w:val="26"/>
              </w:rPr>
              <w:t xml:space="preserve">Перечне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 </w:t>
            </w:r>
            <w:r w:rsidR="002239DA" w:rsidRPr="006B673E">
              <w:rPr>
                <w:i/>
                <w:iCs/>
                <w:sz w:val="26"/>
                <w:szCs w:val="26"/>
                <w:lang w:eastAsia="x-none"/>
              </w:rPr>
              <w:t>ЕАЭС с международной практикой созда</w:t>
            </w:r>
            <w:r>
              <w:rPr>
                <w:i/>
                <w:iCs/>
                <w:sz w:val="26"/>
                <w:szCs w:val="26"/>
                <w:lang w:eastAsia="x-none"/>
              </w:rPr>
              <w:t>ст</w:t>
            </w:r>
            <w:r w:rsidR="002239DA" w:rsidRPr="006B673E">
              <w:rPr>
                <w:i/>
                <w:iCs/>
                <w:sz w:val="26"/>
                <w:szCs w:val="26"/>
                <w:lang w:eastAsia="x-none"/>
              </w:rPr>
              <w:t xml:space="preserve"> </w:t>
            </w:r>
            <w:r w:rsidR="002239DA" w:rsidRPr="006B673E">
              <w:rPr>
                <w:i/>
                <w:iCs/>
                <w:sz w:val="26"/>
                <w:szCs w:val="26"/>
                <w:lang w:eastAsia="x-none"/>
              </w:rPr>
              <w:lastRenderedPageBreak/>
              <w:t>барьеры для свободного движения товаров в торговле с третьими странами</w:t>
            </w:r>
            <w:r>
              <w:rPr>
                <w:i/>
                <w:iCs/>
                <w:sz w:val="26"/>
                <w:szCs w:val="26"/>
                <w:lang w:eastAsia="x-none"/>
              </w:rPr>
              <w:t>.</w:t>
            </w:r>
            <w:r w:rsidR="002239DA" w:rsidRPr="006B673E">
              <w:rPr>
                <w:i/>
                <w:iCs/>
                <w:sz w:val="26"/>
                <w:szCs w:val="26"/>
                <w:lang w:eastAsia="x-none"/>
              </w:rPr>
              <w:t xml:space="preserve"> (более подробно см. п. 11 Опросного листа). </w:t>
            </w:r>
          </w:p>
        </w:tc>
      </w:tr>
      <w:tr w:rsidR="002239DA" w:rsidRPr="001014D0" w14:paraId="3128259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49A" w14:textId="77777777" w:rsidR="002239DA" w:rsidRPr="001014D0" w:rsidRDefault="002239DA" w:rsidP="002239DA">
            <w:pPr>
              <w:ind w:left="-57"/>
              <w:jc w:val="both"/>
              <w:rPr>
                <w:rFonts w:ascii="Verdana" w:hAnsi="Verdana"/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lastRenderedPageBreak/>
              <w:t>7.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Обеспечивает ли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1014D0">
              <w:rPr>
                <w:sz w:val="26"/>
                <w:szCs w:val="26"/>
                <w:lang w:eastAsia="x-none"/>
              </w:rPr>
              <w:t>?</w:t>
            </w:r>
          </w:p>
        </w:tc>
      </w:tr>
      <w:tr w:rsidR="002239DA" w:rsidRPr="005E163A" w14:paraId="2946911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8718" w14:textId="35DD4F15" w:rsidR="002239DA" w:rsidRPr="005E163A" w:rsidRDefault="002239DA" w:rsidP="002239D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 w:rsidRPr="005E163A">
              <w:rPr>
                <w:i/>
                <w:iCs/>
                <w:sz w:val="26"/>
                <w:szCs w:val="26"/>
                <w:lang w:eastAsia="x-none"/>
              </w:rPr>
              <w:t xml:space="preserve">Да, в случае принятия проекта решения ЕЭК цель регулирования будет достигнута. </w:t>
            </w:r>
          </w:p>
        </w:tc>
      </w:tr>
      <w:tr w:rsidR="002239DA" w:rsidRPr="001014D0" w14:paraId="2F5AAA9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E6DF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8.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Если да,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2239DA" w:rsidRPr="005E163A" w14:paraId="52C0ECC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C51" w14:textId="36473A72" w:rsidR="002239DA" w:rsidRPr="005E163A" w:rsidRDefault="002239DA" w:rsidP="002239D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 w:rsidRPr="005E163A">
              <w:rPr>
                <w:i/>
                <w:iCs/>
                <w:sz w:val="26"/>
                <w:szCs w:val="26"/>
                <w:lang w:eastAsia="x-none"/>
              </w:rPr>
              <w:t xml:space="preserve">Переходный период для вступления в силу проекта решения ЕЭК необязателен, </w:t>
            </w:r>
            <w:r w:rsidR="00E4576D">
              <w:rPr>
                <w:i/>
                <w:iCs/>
                <w:sz w:val="26"/>
                <w:szCs w:val="26"/>
                <w:lang w:eastAsia="x-none"/>
              </w:rPr>
              <w:t>но</w:t>
            </w:r>
            <w:r w:rsidRPr="005E163A">
              <w:rPr>
                <w:i/>
                <w:iCs/>
                <w:sz w:val="26"/>
                <w:szCs w:val="26"/>
                <w:lang w:eastAsia="x-none"/>
              </w:rPr>
              <w:t xml:space="preserve"> переходный период потребуется при вступлении в силу основного документа - ТР ЕАЭС 041/2017.</w:t>
            </w:r>
          </w:p>
        </w:tc>
      </w:tr>
      <w:tr w:rsidR="002239DA" w:rsidRPr="001014D0" w14:paraId="252C6387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6CF9" w14:textId="77777777" w:rsidR="002239DA" w:rsidRPr="001014D0" w:rsidRDefault="002239DA" w:rsidP="002239DA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9.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2239DA" w:rsidRPr="005E163A" w14:paraId="2600885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3F1A" w14:textId="20390C22" w:rsidR="002239DA" w:rsidRPr="005E163A" w:rsidRDefault="002239DA" w:rsidP="002239DA">
            <w:pPr>
              <w:spacing w:before="240" w:after="240"/>
              <w:jc w:val="both"/>
              <w:rPr>
                <w:i/>
                <w:iCs/>
                <w:sz w:val="26"/>
                <w:szCs w:val="26"/>
              </w:rPr>
            </w:pPr>
            <w:r w:rsidRPr="005E163A">
              <w:rPr>
                <w:i/>
                <w:iCs/>
                <w:sz w:val="26"/>
                <w:szCs w:val="26"/>
                <w:lang w:eastAsia="x-none"/>
              </w:rPr>
              <w:t xml:space="preserve">Имеются.  Полагаем, что классификация этанола </w:t>
            </w:r>
            <w:r w:rsidR="00E4576D">
              <w:rPr>
                <w:i/>
                <w:iCs/>
                <w:sz w:val="26"/>
                <w:szCs w:val="26"/>
                <w:lang w:eastAsia="x-none"/>
              </w:rPr>
              <w:t xml:space="preserve">и никотина </w:t>
            </w:r>
            <w:r w:rsidRPr="005E163A">
              <w:rPr>
                <w:i/>
                <w:iCs/>
                <w:sz w:val="26"/>
                <w:szCs w:val="26"/>
                <w:lang w:eastAsia="x-none"/>
              </w:rPr>
              <w:t xml:space="preserve">в </w:t>
            </w:r>
            <w:r w:rsidRPr="005E163A">
              <w:rPr>
                <w:i/>
                <w:iCs/>
                <w:sz w:val="26"/>
                <w:szCs w:val="26"/>
              </w:rPr>
              <w:t xml:space="preserve">Перечне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 не соответствует критериям Согласованной на глобальном уровне системы классификации опасности и маркировки химической продукции (СГС) (более подробно см. п. 11 Опросного листа).  </w:t>
            </w:r>
          </w:p>
        </w:tc>
      </w:tr>
    </w:tbl>
    <w:p w14:paraId="32F2E811" w14:textId="77777777" w:rsidR="00BC5842" w:rsidRPr="001014D0" w:rsidRDefault="00BC5842" w:rsidP="00BC5842">
      <w:pPr>
        <w:spacing w:before="240" w:after="240"/>
        <w:jc w:val="center"/>
        <w:rPr>
          <w:b/>
          <w:sz w:val="26"/>
          <w:szCs w:val="26"/>
          <w:lang w:eastAsia="x-none"/>
        </w:rPr>
      </w:pPr>
      <w:r w:rsidRPr="001014D0">
        <w:rPr>
          <w:b/>
          <w:sz w:val="26"/>
          <w:szCs w:val="26"/>
          <w:lang w:val="en-US" w:eastAsia="x-none"/>
        </w:rPr>
        <w:t>IV</w:t>
      </w:r>
      <w:r w:rsidRPr="001014D0">
        <w:rPr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b/>
          <w:sz w:val="26"/>
          <w:szCs w:val="26"/>
          <w:lang w:eastAsia="x-none"/>
        </w:rPr>
        <w:br/>
        <w:t>заполнившего опросный лист)</w:t>
      </w:r>
      <w:r w:rsidRPr="001014D0">
        <w:rPr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14:paraId="26930396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C98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11.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AC3CCF" w:rsidRPr="00AC3CCF" w14:paraId="3F76CDD3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6A98AF08" w14:textId="77777777" w:rsidR="0058782D" w:rsidRDefault="0058782D" w:rsidP="00AD2B67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34159235" w14:textId="0CD53681" w:rsidR="00AD2B67" w:rsidRPr="00BB60E7" w:rsidRDefault="00886735" w:rsidP="00AD2B67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>В Перечне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 этанол признается мутагеном (класс 1) и веществом, воздействующим на репродуктивную функцию (класс 1) при внутрижелудочном поступлении в организм</w:t>
            </w:r>
            <w:r w:rsidR="0093761A">
              <w:rPr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r w:rsidR="0093761A" w:rsidRPr="00BB60E7">
              <w:rPr>
                <w:i/>
                <w:iCs/>
                <w:color w:val="000000" w:themeColor="text1"/>
                <w:sz w:val="26"/>
                <w:szCs w:val="26"/>
              </w:rPr>
              <w:t>что не соответствует СГС.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  <w:r w:rsidR="0093761A"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Цель Согласованной на глобальном уровне системы классификации опасности и маркировки химической продукции (СГС, глава 1.1.) заключается в том, чтобы информация, которая предоставляется лицам, использующим химическую продукцию, позволяла идентифицировать такую продукцию, а также определять сопряженную с  ее применением опасность и давать возможность принять соответствующие </w:t>
            </w:r>
            <w:r w:rsidR="0093761A" w:rsidRPr="00BB60E7"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 xml:space="preserve">меры защиты в соответствии с условиями ее использования. Все имеющиеся исследования по этанолу относятся к исследованиям преднамеренного перорального воздействия в виде алкогольных напитков, а не к исследованиям воздействия при вдыхании или попадании на кожу потребителя или рабочего на предприятии. Такие исследования не имеют классификации в соответствии с принципами СГС. </w:t>
            </w:r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>Готовая пищевая продукция, к которой относятся алкогольные напитки, исключена из сферы действия химического регулирования, поэтому использование данных, которые относятся к чрезмерному употреблению алкогольных напитков (продуктов питания), для оценки воздействия на здоровье человека продукции других отраслей, не обосновано. Исследования воздействия этанола в промышленных условиях проводятся редко, потому что этанол обычно считается малотоксичным. Дозы этанола, полученные либо при работе с этанолом на рабочем месте, либо при использовании товаров широкого спроса, содержащих этанол, показывают, что этанол не оказывает вредного воздействия на здоровье человека.</w:t>
            </w:r>
            <w:r w:rsid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>Во многих случаях заменить этанол будет очень трудно</w:t>
            </w:r>
            <w:r w:rsidR="00BB60E7"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. </w:t>
            </w:r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BB60E7" w:rsidRPr="00BB60E7">
              <w:rPr>
                <w:i/>
                <w:iCs/>
                <w:color w:val="000000" w:themeColor="text1"/>
                <w:sz w:val="26"/>
                <w:szCs w:val="26"/>
              </w:rPr>
              <w:t>Данная классификация приведет к катастрофическим экономическим последствиям, в корне поменяет подход к оценке многих продуктов и организации производства, использующей данное вещество.</w:t>
            </w:r>
            <w:r w:rsid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>Этанол широко используется в косметике, моющих и чистящих средствах, печатных красках, покрытиях, в фармацевтическом производстве, для производства незамерзающих жидкостей и стеклоомывателей для автомобилей. Он применяется в медицине/</w:t>
            </w:r>
            <w:proofErr w:type="spellStart"/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>биоцидах</w:t>
            </w:r>
            <w:proofErr w:type="spellEnd"/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, пищевых продуктах, </w:t>
            </w:r>
            <w:proofErr w:type="spellStart"/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>ароматизаторах</w:t>
            </w:r>
            <w:proofErr w:type="spellEnd"/>
            <w:r w:rsidR="00AD2B67" w:rsidRPr="00BB60E7">
              <w:rPr>
                <w:i/>
                <w:iCs/>
                <w:color w:val="000000" w:themeColor="text1"/>
                <w:sz w:val="26"/>
                <w:szCs w:val="26"/>
              </w:rPr>
              <w:t>. Его использование в целях антисептической защиты в больницах имеет важное значение для инфекционного контроля и это особенно важно во время пандемии COVID-19. Единственная опасность этанола – это его классификация в чистом виде: воспламеняемость и раздражение глаз. Но в этом случае, промышленность имеет большой опыт использования и предоставления рекомендаций для обращения с легковоспламеняющимися растворителями.</w:t>
            </w:r>
          </w:p>
          <w:p w14:paraId="006B54B8" w14:textId="77777777" w:rsidR="0058782D" w:rsidRDefault="00D746C7" w:rsidP="005E163A">
            <w:pPr>
              <w:spacing w:before="240" w:after="240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Полагаем, что </w:t>
            </w:r>
            <w:r w:rsidR="00D67211" w:rsidRPr="00BB60E7">
              <w:rPr>
                <w:i/>
                <w:iCs/>
                <w:color w:val="000000" w:themeColor="text1"/>
                <w:sz w:val="26"/>
                <w:szCs w:val="26"/>
              </w:rPr>
              <w:t>в данном случае ЕЭК руководствовалась не вопросами химического регулирования веществ и смесей, а проблемой чрезмерного потребления алкогольной продукции, что является иной сферой регулирования государств-членов ЕАЭС</w:t>
            </w:r>
            <w:r w:rsidR="005E163A" w:rsidRPr="00BB60E7">
              <w:rPr>
                <w:i/>
                <w:iCs/>
                <w:color w:val="000000" w:themeColor="text1"/>
                <w:sz w:val="26"/>
                <w:szCs w:val="26"/>
              </w:rPr>
              <w:t>.  Алкогольные напитки регулируются соответствующим техническим регламентом – ТР ЕАЭС 047/2018.</w:t>
            </w:r>
            <w:r w:rsidR="00D67211"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  Аналогичный подход </w:t>
            </w:r>
            <w:r w:rsidR="005E163A" w:rsidRPr="00BB60E7">
              <w:rPr>
                <w:i/>
                <w:iCs/>
                <w:color w:val="000000" w:themeColor="text1"/>
                <w:sz w:val="26"/>
                <w:szCs w:val="26"/>
              </w:rPr>
              <w:t>в проекте решения ЕЭК</w:t>
            </w:r>
            <w:r w:rsidR="00D67211"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 применен и к никотину</w:t>
            </w:r>
            <w:r w:rsidR="00D67211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, который классифицирован как вещество, оказывающее воздействие на репродуктивную функцию класс 2.  </w:t>
            </w:r>
          </w:p>
          <w:p w14:paraId="4FBE297C" w14:textId="309DC89A" w:rsidR="00BB60E7" w:rsidRPr="0058782D" w:rsidRDefault="00D67211" w:rsidP="0058782D">
            <w:pPr>
              <w:spacing w:before="240" w:after="240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Вред здоровью человека, наносимый курением, и классификация никотина как химического вещества, </w:t>
            </w:r>
            <w:r w:rsidR="00BB60E7">
              <w:rPr>
                <w:i/>
                <w:iCs/>
                <w:color w:val="000000" w:themeColor="text1"/>
                <w:sz w:val="26"/>
                <w:szCs w:val="26"/>
              </w:rPr>
              <w:t>являются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E163A" w:rsidRPr="00AC3CCF">
              <w:rPr>
                <w:i/>
                <w:iCs/>
                <w:color w:val="000000" w:themeColor="text1"/>
                <w:sz w:val="26"/>
                <w:szCs w:val="26"/>
              </w:rPr>
              <w:t>разными сферами регулирования.  В отношении табачных изделий в ЕАЭС принят технический регламент на табачную продукцию - ТР ТС 035/2014.  В ЕС никотин (</w:t>
            </w:r>
            <w:r w:rsidR="005E163A" w:rsidRPr="00BB60E7">
              <w:rPr>
                <w:i/>
                <w:iCs/>
                <w:color w:val="000000" w:themeColor="text1"/>
                <w:sz w:val="26"/>
                <w:szCs w:val="26"/>
              </w:rPr>
              <w:t>CAS</w:t>
            </w:r>
            <w:r w:rsidR="005E163A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 54-11-5) классифицирован как вещество острой токсичности </w:t>
            </w:r>
            <w:r w:rsidR="002C4940">
              <w:rPr>
                <w:i/>
                <w:iCs/>
                <w:color w:val="000000" w:themeColor="text1"/>
                <w:sz w:val="26"/>
                <w:szCs w:val="26"/>
              </w:rPr>
              <w:t>(класс 2), повреждающее глаза (класс 1), вызывающее раздражение кожи (класс 2)</w:t>
            </w:r>
            <w:r w:rsidR="005E163A" w:rsidRPr="00AC3CCF">
              <w:rPr>
                <w:i/>
                <w:iCs/>
                <w:color w:val="000000" w:themeColor="text1"/>
                <w:sz w:val="26"/>
                <w:szCs w:val="26"/>
              </w:rPr>
              <w:t>, хронической токсичности в водной среде</w:t>
            </w:r>
            <w:r w:rsidR="002C4940">
              <w:rPr>
                <w:i/>
                <w:iCs/>
                <w:color w:val="000000" w:themeColor="text1"/>
                <w:sz w:val="26"/>
                <w:szCs w:val="26"/>
              </w:rPr>
              <w:t xml:space="preserve"> (класс 2)</w:t>
            </w:r>
            <w:r w:rsidR="005E163A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.  </w:t>
            </w:r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 xml:space="preserve">Прежде всего необходимо отметить, что никотин — это алкалоид, который содержится в растениях и овощах вида пасленовых, таких как картофель, томат, перец баклажан, табак, паслен, петуния и др.  В случае с предлагаемой классификацией никотина как </w:t>
            </w:r>
            <w:proofErr w:type="spellStart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>репротоксиканта</w:t>
            </w:r>
            <w:proofErr w:type="spellEnd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 xml:space="preserve"> происходит подмена понятий: потребление никотина и потребление табачных изделий.  Если никотин рассматривать </w:t>
            </w:r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 xml:space="preserve">как </w:t>
            </w:r>
            <w:proofErr w:type="spellStart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>репротоксикант</w:t>
            </w:r>
            <w:proofErr w:type="spellEnd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 xml:space="preserve">, то можно говорить и о том, что потребление овощей семейства пасленовых также может привести к нарушению репродуктивной функции организма. Следует помнить о том, что никотин используется в фармакологии в том числе и в средствах, способствующих отказу от курения (никотиновые пластыри, никотиновые спреи, жевательные резинки). В инструкциях по применению </w:t>
            </w:r>
            <w:proofErr w:type="spellStart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>никотинсодержащих</w:t>
            </w:r>
            <w:proofErr w:type="spellEnd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 xml:space="preserve"> пластырей, спреев и жевательных резинок, например, одного из самых популярных и рекламируемых брендов Nicorette нет запретов для их использования даже в период беременности (только предостережения о нежелательности терапии в такой период). В таком случае следует ввести запрет или серьезные ограничения и на </w:t>
            </w:r>
            <w:proofErr w:type="spellStart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>никотинзамещающую</w:t>
            </w:r>
            <w:proofErr w:type="spellEnd"/>
            <w:r w:rsidR="00BB60E7" w:rsidRPr="0058782D">
              <w:rPr>
                <w:i/>
                <w:iCs/>
                <w:color w:val="000000" w:themeColor="text1"/>
                <w:sz w:val="26"/>
                <w:szCs w:val="26"/>
              </w:rPr>
              <w:t xml:space="preserve"> терапию, которая широко используется в лечебной практике по отказу от курения.  </w:t>
            </w:r>
          </w:p>
          <w:p w14:paraId="70FD4617" w14:textId="002454C8" w:rsidR="00BB60E7" w:rsidRPr="00AC3CCF" w:rsidRDefault="005E163A" w:rsidP="0058782D">
            <w:pPr>
              <w:spacing w:before="240" w:after="240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Принимая во внимание изложенное, считаем целесообразным привести классификацию </w:t>
            </w:r>
            <w:r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этанола </w:t>
            </w:r>
            <w:r w:rsidR="0093761A" w:rsidRPr="00BB60E7">
              <w:rPr>
                <w:i/>
                <w:iCs/>
                <w:color w:val="000000" w:themeColor="text1"/>
                <w:sz w:val="26"/>
                <w:szCs w:val="26"/>
              </w:rPr>
              <w:t xml:space="preserve">(CAS 64-17-5) </w:t>
            </w:r>
            <w:r w:rsidRPr="00BB60E7">
              <w:rPr>
                <w:i/>
                <w:iCs/>
                <w:color w:val="000000" w:themeColor="text1"/>
                <w:sz w:val="26"/>
                <w:szCs w:val="26"/>
              </w:rPr>
              <w:t>и никотина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3761A" w:rsidRPr="00BB60E7">
              <w:rPr>
                <w:i/>
                <w:iCs/>
                <w:color w:val="000000" w:themeColor="text1"/>
                <w:sz w:val="26"/>
                <w:szCs w:val="26"/>
              </w:rPr>
              <w:t>(CAS 54-11-5)</w:t>
            </w:r>
            <w:r w:rsidR="0093761A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>в Перечне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 в соответствие с классификацией, принятой в Европейском союзе</w:t>
            </w:r>
            <w:r w:rsidR="006B673E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r w:rsidR="006B673E" w:rsidRPr="00BB60E7">
              <w:rPr>
                <w:i/>
                <w:iCs/>
                <w:color w:val="000000" w:themeColor="text1"/>
                <w:sz w:val="26"/>
                <w:szCs w:val="26"/>
              </w:rPr>
              <w:t>и исключить данные химические вещества из Приложения №7 проекта решения ЕЭК</w:t>
            </w:r>
            <w:r w:rsidRPr="00BB60E7">
              <w:rPr>
                <w:i/>
                <w:iCs/>
                <w:color w:val="000000" w:themeColor="text1"/>
                <w:sz w:val="26"/>
                <w:szCs w:val="26"/>
              </w:rPr>
              <w:t>.</w:t>
            </w:r>
          </w:p>
        </w:tc>
      </w:tr>
      <w:tr w:rsidR="001014D0" w:rsidRPr="001014D0" w14:paraId="12E4E75C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4BC30007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lastRenderedPageBreak/>
              <w:t>12.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1014D0">
              <w:rPr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1014D0">
              <w:rPr>
                <w:sz w:val="26"/>
                <w:szCs w:val="26"/>
                <w:lang w:val="x-none" w:eastAsia="x-none"/>
              </w:rPr>
              <w:t>, а также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1014D0" w:rsidRPr="001014D0" w14:paraId="10552A67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728C6D97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76CF6F4B" w14:textId="77777777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2E485E4D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13.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, </w:t>
            </w:r>
            <w:r w:rsidRPr="001014D0">
              <w:rPr>
                <w:sz w:val="26"/>
                <w:szCs w:val="26"/>
                <w:lang w:eastAsia="x-none"/>
              </w:rPr>
              <w:t xml:space="preserve">отнесенному Вами к </w:t>
            </w:r>
            <w:r w:rsidRPr="001014D0">
              <w:rPr>
                <w:sz w:val="26"/>
                <w:szCs w:val="26"/>
                <w:lang w:val="x-none" w:eastAsia="x-none"/>
              </w:rPr>
              <w:t>негативно влияющ</w:t>
            </w:r>
            <w:r w:rsidRPr="001014D0">
              <w:rPr>
                <w:sz w:val="26"/>
                <w:szCs w:val="26"/>
                <w:lang w:eastAsia="x-none"/>
              </w:rPr>
              <w:t>им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на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по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количественно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и т.п.). </w:t>
            </w:r>
          </w:p>
          <w:p w14:paraId="2956823F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1014D0">
              <w:rPr>
                <w:sz w:val="26"/>
                <w:szCs w:val="26"/>
                <w:lang w:eastAsia="x-none"/>
              </w:rPr>
              <w:t xml:space="preserve"> – </w:t>
            </w:r>
            <w:r w:rsidRPr="001014D0">
              <w:rPr>
                <w:sz w:val="26"/>
                <w:szCs w:val="26"/>
                <w:lang w:val="x-none" w:eastAsia="x-none"/>
              </w:rPr>
              <w:t>виды издержек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1014D0">
              <w:rPr>
                <w:sz w:val="26"/>
                <w:szCs w:val="26"/>
                <w:lang w:eastAsia="x-none"/>
              </w:rPr>
              <w:t>.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1014D0" w:rsidRPr="001014D0" w14:paraId="49DCC82F" w14:textId="77777777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D8A3C" w14:textId="77777777" w:rsidR="00BC5842" w:rsidRPr="001014D0" w:rsidRDefault="00BC5842" w:rsidP="00BC5842">
            <w:pPr>
              <w:spacing w:after="120"/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14.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14:paraId="4F1FADF5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93E" w14:textId="720DA3F5" w:rsidR="00BC5842" w:rsidRPr="004E4809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E505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14:paraId="316B7339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1723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846A7" w14:textId="77777777" w:rsidR="00BC5842" w:rsidRPr="001014D0" w:rsidDel="00F07120" w:rsidRDefault="00BC5842" w:rsidP="00BC5842">
            <w:pPr>
              <w:spacing w:after="120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2E194164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39C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B93E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1014D0" w:rsidRPr="001014D0" w14:paraId="1F67ECB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56D6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F34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478F7ADE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9F7" w14:textId="365A6F28" w:rsidR="00BC5842" w:rsidRPr="00353A63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9F7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1014D0" w:rsidRPr="001014D0" w14:paraId="6964B28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9652C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309B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5C641A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793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226C6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14:paraId="3DB9F561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0DD89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AA02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деятельности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7FCA11A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E3C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EF07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14:paraId="5627A88F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D602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F7065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9093F8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5EF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7F73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14:paraId="593D995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64B2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B4DF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1014D0">
              <w:rPr>
                <w:sz w:val="26"/>
                <w:szCs w:val="26"/>
                <w:lang w:eastAsia="x-none"/>
              </w:rPr>
              <w:t xml:space="preserve">ЕЭК </w:t>
            </w:r>
            <w:r w:rsidRPr="001014D0">
              <w:rPr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944FDE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FA4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72AB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14:paraId="55CD8F53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CB95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02523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1CA5FAF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44D" w14:textId="4667229B" w:rsidR="00BC5842" w:rsidRPr="00353A63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33CF3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14:paraId="30ACA30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A850B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B544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1014D0">
              <w:rPr>
                <w:sz w:val="26"/>
                <w:szCs w:val="26"/>
                <w:lang w:eastAsia="x-none"/>
              </w:rPr>
              <w:t>.</w:t>
            </w:r>
          </w:p>
        </w:tc>
      </w:tr>
    </w:tbl>
    <w:p w14:paraId="69F64B22" w14:textId="77777777" w:rsidR="00BC5842" w:rsidRPr="001014D0" w:rsidRDefault="00BC5842" w:rsidP="00BC5842">
      <w:pPr>
        <w:ind w:left="-142"/>
        <w:jc w:val="both"/>
        <w:rPr>
          <w:lang w:eastAsia="x-none"/>
        </w:rPr>
      </w:pPr>
      <w:r w:rsidRPr="001014D0">
        <w:rPr>
          <w:lang w:eastAsia="x-none"/>
        </w:rPr>
        <w:t>__________________</w:t>
      </w:r>
    </w:p>
    <w:p w14:paraId="28AD352A" w14:textId="77777777" w:rsidR="00BC5842" w:rsidRPr="001014D0" w:rsidRDefault="00BC5842" w:rsidP="00BC5842">
      <w:pPr>
        <w:ind w:left="-142"/>
        <w:jc w:val="both"/>
        <w:rPr>
          <w:bCs/>
          <w:kern w:val="32"/>
          <w:lang w:eastAsia="x-none"/>
        </w:rPr>
      </w:pPr>
      <w:r w:rsidRPr="001014D0">
        <w:rPr>
          <w:bCs/>
          <w:kern w:val="32"/>
          <w:vertAlign w:val="superscript"/>
          <w:lang w:eastAsia="x-none"/>
        </w:rPr>
        <w:t>1</w:t>
      </w:r>
      <w:r w:rsidRPr="001014D0">
        <w:rPr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14:paraId="17DD4F9F" w14:textId="77777777" w:rsidR="00BC5842" w:rsidRPr="001014D0" w:rsidRDefault="00BC5842" w:rsidP="00BC5842">
      <w:pPr>
        <w:ind w:left="-142"/>
        <w:jc w:val="both"/>
        <w:rPr>
          <w:bCs/>
          <w:kern w:val="32"/>
          <w:lang w:eastAsia="x-none"/>
        </w:rPr>
      </w:pPr>
      <w:r w:rsidRPr="001014D0">
        <w:rPr>
          <w:bCs/>
          <w:kern w:val="32"/>
          <w:vertAlign w:val="superscript"/>
          <w:lang w:eastAsia="x-none"/>
        </w:rPr>
        <w:t>2</w:t>
      </w:r>
      <w:r w:rsidRPr="001014D0">
        <w:rPr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14:paraId="2044458E" w14:textId="77777777" w:rsidR="00BC5842" w:rsidRPr="001014D0" w:rsidRDefault="00BC5842" w:rsidP="00BC5842">
      <w:pPr>
        <w:ind w:left="-142"/>
        <w:jc w:val="both"/>
        <w:rPr>
          <w:rFonts w:eastAsia="Calibri"/>
          <w:lang w:eastAsia="x-none"/>
        </w:rPr>
      </w:pPr>
      <w:r w:rsidRPr="001014D0">
        <w:rPr>
          <w:bCs/>
          <w:kern w:val="32"/>
          <w:vertAlign w:val="superscript"/>
          <w:lang w:eastAsia="x-none"/>
        </w:rPr>
        <w:t>3</w:t>
      </w:r>
      <w:r w:rsidRPr="001014D0">
        <w:rPr>
          <w:bCs/>
          <w:kern w:val="32"/>
          <w:lang w:eastAsia="x-none"/>
        </w:rPr>
        <w:t xml:space="preserve"> При ответе </w:t>
      </w:r>
      <w:r w:rsidRPr="001014D0">
        <w:rPr>
          <w:rFonts w:eastAsia="Calibri"/>
          <w:lang w:eastAsia="x-none"/>
        </w:rPr>
        <w:t xml:space="preserve">на вопросы раздела участником публичного обсуждения могут учитываться: </w:t>
      </w:r>
    </w:p>
    <w:p w14:paraId="762D144D" w14:textId="77777777" w:rsidR="00BC5842" w:rsidRPr="001014D0" w:rsidRDefault="00BC5842" w:rsidP="00BC5842">
      <w:pPr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t>положения проекта решения ЕЭК, публичное обсуждение которого проводится;</w:t>
      </w:r>
    </w:p>
    <w:p w14:paraId="3A70C542" w14:textId="77777777" w:rsidR="00BC5842" w:rsidRPr="001014D0" w:rsidRDefault="00BC5842" w:rsidP="00BC5842">
      <w:pPr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t xml:space="preserve"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</w:t>
      </w:r>
      <w:r w:rsidRPr="00AA78FA">
        <w:rPr>
          <w:rFonts w:eastAsia="Calibri"/>
          <w:b/>
          <w:lang w:eastAsia="x-none"/>
        </w:rPr>
        <w:t>Решением</w:t>
      </w:r>
      <w:r w:rsidRPr="001014D0">
        <w:rPr>
          <w:rFonts w:eastAsia="Calibri"/>
          <w:lang w:eastAsia="x-none"/>
        </w:rPr>
        <w:t xml:space="preserve"> Коллегии Евразийской экономической комиссии</w:t>
      </w:r>
      <w:r w:rsidR="00516908" w:rsidRPr="001014D0">
        <w:rPr>
          <w:rFonts w:eastAsia="Calibri"/>
          <w:lang w:eastAsia="x-none"/>
        </w:rPr>
        <w:t>.</w:t>
      </w:r>
    </w:p>
    <w:p w14:paraId="134C556A" w14:textId="77777777" w:rsidR="00BC5842" w:rsidRPr="001014D0" w:rsidRDefault="00BC5842" w:rsidP="00BC5842">
      <w:pPr>
        <w:ind w:left="-142"/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14:paraId="72756E37" w14:textId="77777777" w:rsidR="00BC5842" w:rsidRPr="001014D0" w:rsidRDefault="00BC5842" w:rsidP="00BC5842">
      <w:pPr>
        <w:ind w:left="-142"/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14:paraId="1E12225A" w14:textId="7DA767C6" w:rsidR="00E30236" w:rsidRDefault="00BC5842" w:rsidP="003C663F">
      <w:pPr>
        <w:ind w:left="-142"/>
        <w:jc w:val="both"/>
        <w:rPr>
          <w:rFonts w:eastAsia="Calibri"/>
          <w:lang w:eastAsia="x-none"/>
        </w:rPr>
      </w:pPr>
      <w:r w:rsidRPr="001014D0">
        <w:rPr>
          <w:rFonts w:eastAsia="Calibri"/>
          <w:vertAlign w:val="superscript"/>
          <w:lang w:eastAsia="x-none"/>
        </w:rPr>
        <w:t>4</w:t>
      </w:r>
      <w:r w:rsidRPr="001014D0">
        <w:rPr>
          <w:rFonts w:eastAsia="Calibri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14:paraId="1A452479" w14:textId="6994EE13" w:rsidR="00264D6B" w:rsidRDefault="00264D6B" w:rsidP="003C663F">
      <w:pPr>
        <w:ind w:left="-142"/>
        <w:jc w:val="both"/>
        <w:rPr>
          <w:rFonts w:eastAsia="Calibri"/>
          <w:lang w:eastAsia="x-none"/>
        </w:rPr>
      </w:pPr>
    </w:p>
    <w:p w14:paraId="10B654FE" w14:textId="67041A7F" w:rsidR="009B610B" w:rsidRPr="006B673E" w:rsidRDefault="009B610B" w:rsidP="006B673E">
      <w:pPr>
        <w:rPr>
          <w:rFonts w:eastAsia="Calibri"/>
          <w:lang w:eastAsia="x-none"/>
        </w:rPr>
      </w:pPr>
    </w:p>
    <w:sectPr w:rsidR="009B610B" w:rsidRPr="006B673E" w:rsidSect="005029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B2DD" w14:textId="77777777" w:rsidR="00366FB1" w:rsidRDefault="00366FB1" w:rsidP="005029A2">
      <w:r>
        <w:separator/>
      </w:r>
    </w:p>
  </w:endnote>
  <w:endnote w:type="continuationSeparator" w:id="0">
    <w:p w14:paraId="6227A0CB" w14:textId="77777777" w:rsidR="00366FB1" w:rsidRDefault="00366FB1" w:rsidP="0050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54978" w14:textId="77777777" w:rsidR="00366FB1" w:rsidRDefault="00366FB1" w:rsidP="005029A2">
      <w:r>
        <w:separator/>
      </w:r>
    </w:p>
  </w:footnote>
  <w:footnote w:type="continuationSeparator" w:id="0">
    <w:p w14:paraId="59DEFD88" w14:textId="77777777" w:rsidR="00366FB1" w:rsidRDefault="00366FB1" w:rsidP="0050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6478446" w14:textId="77777777"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006B7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0AA5C21" w14:textId="77777777"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DBC"/>
    <w:rsid w:val="00043D52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C5F97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66AD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39DA"/>
    <w:rsid w:val="002243B2"/>
    <w:rsid w:val="0022447B"/>
    <w:rsid w:val="00225878"/>
    <w:rsid w:val="00227B14"/>
    <w:rsid w:val="00227E39"/>
    <w:rsid w:val="00235544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64D6B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4940"/>
    <w:rsid w:val="002C576C"/>
    <w:rsid w:val="002C6247"/>
    <w:rsid w:val="002C690B"/>
    <w:rsid w:val="002C6B79"/>
    <w:rsid w:val="002C7DE2"/>
    <w:rsid w:val="002D0DB0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3A63"/>
    <w:rsid w:val="0035662A"/>
    <w:rsid w:val="00357AF2"/>
    <w:rsid w:val="0036000C"/>
    <w:rsid w:val="00360374"/>
    <w:rsid w:val="00361B3B"/>
    <w:rsid w:val="00363432"/>
    <w:rsid w:val="00363658"/>
    <w:rsid w:val="00364BB7"/>
    <w:rsid w:val="00366FB1"/>
    <w:rsid w:val="00370696"/>
    <w:rsid w:val="00373E8E"/>
    <w:rsid w:val="00375E18"/>
    <w:rsid w:val="00382344"/>
    <w:rsid w:val="00383238"/>
    <w:rsid w:val="0038619B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1304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372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858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E4809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22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1C97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8782D"/>
    <w:rsid w:val="005946AF"/>
    <w:rsid w:val="005A1D37"/>
    <w:rsid w:val="005A312B"/>
    <w:rsid w:val="005A3223"/>
    <w:rsid w:val="005A6D6E"/>
    <w:rsid w:val="005A6EC4"/>
    <w:rsid w:val="005B14D0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63A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77C9F"/>
    <w:rsid w:val="00681704"/>
    <w:rsid w:val="006830B8"/>
    <w:rsid w:val="006856F8"/>
    <w:rsid w:val="00687EB1"/>
    <w:rsid w:val="006923B2"/>
    <w:rsid w:val="006928A3"/>
    <w:rsid w:val="00692B61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673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D7B4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3881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0D83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86735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736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8F5919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3761A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081E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86F79"/>
    <w:rsid w:val="009922B9"/>
    <w:rsid w:val="00994AC4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B610B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0B81"/>
    <w:rsid w:val="00A063F2"/>
    <w:rsid w:val="00A105D9"/>
    <w:rsid w:val="00A106CB"/>
    <w:rsid w:val="00A1178C"/>
    <w:rsid w:val="00A11FD5"/>
    <w:rsid w:val="00A12333"/>
    <w:rsid w:val="00A1317A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3BAD"/>
    <w:rsid w:val="00A95E70"/>
    <w:rsid w:val="00A97A52"/>
    <w:rsid w:val="00AA1CBF"/>
    <w:rsid w:val="00AA1F87"/>
    <w:rsid w:val="00AA2609"/>
    <w:rsid w:val="00AA5BE3"/>
    <w:rsid w:val="00AA5C0D"/>
    <w:rsid w:val="00AA6D3C"/>
    <w:rsid w:val="00AA78FA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3CCF"/>
    <w:rsid w:val="00AC4218"/>
    <w:rsid w:val="00AC5F90"/>
    <w:rsid w:val="00AD2B67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17195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0E7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3AC"/>
    <w:rsid w:val="00C2352B"/>
    <w:rsid w:val="00C30E30"/>
    <w:rsid w:val="00C32E5D"/>
    <w:rsid w:val="00C36162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16960"/>
    <w:rsid w:val="00D2098E"/>
    <w:rsid w:val="00D214FC"/>
    <w:rsid w:val="00D22AA9"/>
    <w:rsid w:val="00D2356F"/>
    <w:rsid w:val="00D342FD"/>
    <w:rsid w:val="00D373FB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211"/>
    <w:rsid w:val="00D6773F"/>
    <w:rsid w:val="00D70E0E"/>
    <w:rsid w:val="00D70EE2"/>
    <w:rsid w:val="00D735AB"/>
    <w:rsid w:val="00D746C7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0007"/>
    <w:rsid w:val="00DA1BB3"/>
    <w:rsid w:val="00DA1E81"/>
    <w:rsid w:val="00DA5E86"/>
    <w:rsid w:val="00DA6741"/>
    <w:rsid w:val="00DA7BE6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4576D"/>
    <w:rsid w:val="00E53A10"/>
    <w:rsid w:val="00E54A28"/>
    <w:rsid w:val="00E54FAA"/>
    <w:rsid w:val="00E56A89"/>
    <w:rsid w:val="00E56F18"/>
    <w:rsid w:val="00E57410"/>
    <w:rsid w:val="00E606D6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1DC9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06B7"/>
    <w:rsid w:val="00F01AE9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124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155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CF0E"/>
  <w15:docId w15:val="{E8D8870E-1E02-F14C-B0F5-5FAE1E4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semiHidden/>
    <w:unhideWhenUsed/>
    <w:rsid w:val="00D373FB"/>
    <w:rPr>
      <w:strike w:val="0"/>
      <w:dstrike w:val="0"/>
      <w:color w:val="142642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A00B81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semiHidden/>
    <w:unhideWhenUsed/>
    <w:rsid w:val="00A131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1317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317A"/>
    <w:rPr>
      <w:vertAlign w:val="superscript"/>
    </w:rPr>
  </w:style>
  <w:style w:type="character" w:customStyle="1" w:styleId="apple-converted-space">
    <w:name w:val="apple-converted-space"/>
    <w:basedOn w:val="a0"/>
    <w:rsid w:val="00AC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pt_techregulation@eecommiss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CDF30-BA44-4A17-A585-488D5A92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2548</Words>
  <Characters>14524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</vt:lpstr>
      <vt:lpstr>Опросный лист</vt:lpstr>
    </vt:vector>
  </TitlesOfParts>
  <Manager/>
  <Company/>
  <LinksUpToDate>false</LinksUpToDate>
  <CharactersWithSpaces>17038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Khoroshavina, Ilona</dc:creator>
  <cp:keywords/>
  <dc:description/>
  <cp:lastModifiedBy>1</cp:lastModifiedBy>
  <cp:revision>2</cp:revision>
  <cp:lastPrinted>2021-03-29T03:52:00Z</cp:lastPrinted>
  <dcterms:created xsi:type="dcterms:W3CDTF">2021-04-01T07:38:00Z</dcterms:created>
  <dcterms:modified xsi:type="dcterms:W3CDTF">2021-04-01T07:38:00Z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  <property fmtid="{D5CDD505-2E9C-101B-9397-08002B2CF9AE}" pid="6" name="MSIP_Label_b020b37f-db72-473e-ae54-fb16df408069_Enabled">
    <vt:lpwstr>true</vt:lpwstr>
  </property>
  <property fmtid="{D5CDD505-2E9C-101B-9397-08002B2CF9AE}" pid="7" name="MSIP_Label_b020b37f-db72-473e-ae54-fb16df408069_SetDate">
    <vt:lpwstr>2021-03-16T12:33:42Z</vt:lpwstr>
  </property>
  <property fmtid="{D5CDD505-2E9C-101B-9397-08002B2CF9AE}" pid="8" name="MSIP_Label_b020b37f-db72-473e-ae54-fb16df408069_Method">
    <vt:lpwstr>Standard</vt:lpwstr>
  </property>
  <property fmtid="{D5CDD505-2E9C-101B-9397-08002B2CF9AE}" pid="9" name="MSIP_Label_b020b37f-db72-473e-ae54-fb16df408069_Name">
    <vt:lpwstr>General</vt:lpwstr>
  </property>
  <property fmtid="{D5CDD505-2E9C-101B-9397-08002B2CF9AE}" pid="10" name="MSIP_Label_b020b37f-db72-473e-ae54-fb16df408069_SiteId">
    <vt:lpwstr>705d07a3-2eea-4f3b-ab59-65ca29abeb26</vt:lpwstr>
  </property>
  <property fmtid="{D5CDD505-2E9C-101B-9397-08002B2CF9AE}" pid="11" name="MSIP_Label_b020b37f-db72-473e-ae54-fb16df408069_ActionId">
    <vt:lpwstr>304da764-34b7-4f74-8cf9-56c0ede6529b</vt:lpwstr>
  </property>
  <property fmtid="{D5CDD505-2E9C-101B-9397-08002B2CF9AE}" pid="12" name="MSIP_Label_b020b37f-db72-473e-ae54-fb16df408069_ContentBits">
    <vt:lpwstr>0</vt:lpwstr>
  </property>
</Properties>
</file>