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8" w:rsidRDefault="00C73078" w:rsidP="00BC5842">
      <w:pPr>
        <w:spacing w:before="600" w:after="360" w:line="240" w:lineRule="auto"/>
        <w:jc w:val="center"/>
        <w:outlineLvl w:val="4"/>
        <w:rPr>
          <w:rFonts w:eastAsia="Times New Roman" w:cs="Times New Roman"/>
          <w:b/>
          <w:bCs/>
          <w:iCs/>
          <w:spacing w:val="40"/>
          <w:sz w:val="30"/>
          <w:szCs w:val="30"/>
          <w:lang w:eastAsia="x-none"/>
        </w:rPr>
      </w:pPr>
    </w:p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73078" w:rsidRPr="00C73078" w:rsidRDefault="00BC5842" w:rsidP="00030F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045D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030F64" w:rsidRPr="00030F64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Порядках формирования и ведения единого реестра зарегистрированных лекарственных средств</w:t>
      </w:r>
      <w:r w:rsidR="00030F6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30F64" w:rsidRPr="00030F64">
        <w:rPr>
          <w:rFonts w:ascii="Times New Roman" w:eastAsia="Times New Roman" w:hAnsi="Times New Roman" w:cs="Times New Roman"/>
          <w:sz w:val="28"/>
          <w:szCs w:val="28"/>
          <w:lang w:eastAsia="x-none"/>
        </w:rPr>
        <w:t>Евразийского экономического союза и информационных баз данных в сфере обращения лекарственных средств</w:t>
      </w:r>
    </w:p>
    <w:p w:rsidR="00BC5842" w:rsidRPr="000831B3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5F6E5C" w:rsidRPr="005F6E5C">
              <w:rPr>
                <w:sz w:val="25"/>
                <w:szCs w:val="25"/>
                <w:lang w:eastAsia="x-none"/>
              </w:rPr>
              <w:t>2</w:t>
            </w:r>
            <w:r w:rsidR="00616093">
              <w:rPr>
                <w:sz w:val="25"/>
                <w:szCs w:val="25"/>
                <w:lang w:val="en-US"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901D6">
              <w:rPr>
                <w:sz w:val="25"/>
                <w:szCs w:val="25"/>
                <w:lang w:eastAsia="x-none"/>
              </w:rPr>
              <w:t>августа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8901D6" w:rsidRDefault="00BC5842" w:rsidP="00616093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О</w:t>
            </w:r>
            <w:proofErr w:type="spellStart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616093">
              <w:rPr>
                <w:spacing w:val="-4"/>
                <w:kern w:val="25"/>
                <w:sz w:val="25"/>
                <w:szCs w:val="25"/>
                <w:lang w:val="en-US" w:eastAsia="x-none"/>
              </w:rPr>
              <w:t>6</w:t>
            </w:r>
            <w:bookmarkStart w:id="0" w:name="_GoBack"/>
            <w:bookmarkEnd w:id="0"/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901D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сентября</w:t>
            </w:r>
            <w:r w:rsidR="000C02C6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Pr="008901D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16908" w:rsidRPr="008901D6">
              <w:rPr>
                <w:spacing w:val="-4"/>
                <w:kern w:val="25"/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  <w:r w:rsidR="008901D6">
              <w:rPr>
                <w:sz w:val="26"/>
                <w:szCs w:val="26"/>
              </w:rPr>
              <w:t>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lastRenderedPageBreak/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43" w:rsidRDefault="00EB0743" w:rsidP="005029A2">
      <w:pPr>
        <w:spacing w:after="0" w:line="240" w:lineRule="auto"/>
      </w:pPr>
      <w:r>
        <w:separator/>
      </w:r>
    </w:p>
  </w:endnote>
  <w:endnote w:type="continuationSeparator" w:id="0">
    <w:p w:rsidR="00EB0743" w:rsidRDefault="00EB074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43" w:rsidRDefault="00EB0743" w:rsidP="005029A2">
      <w:pPr>
        <w:spacing w:after="0" w:line="240" w:lineRule="auto"/>
      </w:pPr>
      <w:r>
        <w:separator/>
      </w:r>
    </w:p>
  </w:footnote>
  <w:footnote w:type="continuationSeparator" w:id="0">
    <w:p w:rsidR="00EB0743" w:rsidRDefault="00EB074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16093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0F64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173A"/>
    <w:rsid w:val="0020227D"/>
    <w:rsid w:val="002023DB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5F6E5C"/>
    <w:rsid w:val="006008C6"/>
    <w:rsid w:val="00600EB4"/>
    <w:rsid w:val="00603E7F"/>
    <w:rsid w:val="006040E1"/>
    <w:rsid w:val="00606DDB"/>
    <w:rsid w:val="006130A0"/>
    <w:rsid w:val="0061343B"/>
    <w:rsid w:val="00615F76"/>
    <w:rsid w:val="00616093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183C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743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2015-08-27T20:00:00+00:00</EecNpbDateOfStartingDiscussion>
    <EecNpbDocumentGuid xmlns="d70984cf-725d-4790-9b12-19604c34148c">c5df877a-d3d6-425d-baa3-729f36694c3b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2015-08-27T15:37:17+00:00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2015-08-26T20:00:00+00:00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2015-08-27T19:38:22+00:00</EecNpbDocumentFileOrder>
    <EecNpbUserFriendlyUrlPart xmlns="9260b414-defe-45cc-88a3-eb5c73238076">ria_27082015_sur.docx</EecNpbUserFriendlyUrlPart>
  </documentManagement>
</p:properti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41A2F-EF42-4D79-A862-52F3F070C4B6}"/>
</file>

<file path=customXml/itemProps2.xml><?xml version="1.0" encoding="utf-8"?>
<ds:datastoreItem xmlns:ds="http://schemas.openxmlformats.org/officeDocument/2006/customXml" ds:itemID="{F865CFC6-3A4E-4554-B43B-BD61F4F4DFDD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2CE31391-861E-4B5B-806D-E17DCA9056CE}"/>
</file>

<file path=customXml/itemProps5.xml><?xml version="1.0" encoding="utf-8"?>
<ds:datastoreItem xmlns:ds="http://schemas.openxmlformats.org/officeDocument/2006/customXml" ds:itemID="{79A0647B-15FE-4D1F-95A9-FBB1E1881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Рождественский Дмитрий Анатольевич</cp:lastModifiedBy>
  <cp:revision>11</cp:revision>
  <cp:lastPrinted>2015-07-23T15:49:00Z</cp:lastPrinted>
  <dcterms:created xsi:type="dcterms:W3CDTF">2015-07-22T16:28:00Z</dcterms:created>
  <dcterms:modified xsi:type="dcterms:W3CDTF">2015-08-27T14:11:00Z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