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1014D0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bookmarkStart w:id="0" w:name="_GoBack"/>
      <w:bookmarkEnd w:id="0"/>
      <w:r w:rsidRPr="001014D0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1014D0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C5842" w:rsidRPr="006946E7" w:rsidRDefault="00BC5842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4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1014D0" w:rsidRPr="001014D0">
        <w:rPr>
          <w:rFonts w:ascii="Times New Roman" w:hAnsi="Times New Roman" w:cs="Times New Roman"/>
          <w:sz w:val="28"/>
          <w:szCs w:val="28"/>
        </w:rPr>
        <w:t>«</w:t>
      </w:r>
      <w:r w:rsidR="006946E7" w:rsidRPr="006946E7">
        <w:rPr>
          <w:rFonts w:ascii="Times New Roman" w:hAnsi="Times New Roman"/>
          <w:sz w:val="30"/>
          <w:szCs w:val="30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1014D0">
        <w:rPr>
          <w:rFonts w:ascii="Times New Roman" w:hAnsi="Times New Roman" w:cs="Times New Roman"/>
          <w:sz w:val="28"/>
          <w:szCs w:val="28"/>
        </w:rPr>
        <w:t>»</w:t>
      </w:r>
    </w:p>
    <w:p w:rsidR="006856F8" w:rsidRPr="006946E7" w:rsidRDefault="006856F8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:rsidR="00BC5842" w:rsidRPr="001014D0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036C06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6856F8" w:rsidRPr="00036C06" w:rsidRDefault="006856F8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036C06" w:rsidRPr="00036C06" w:rsidTr="00516908">
        <w:tc>
          <w:tcPr>
            <w:tcW w:w="3578" w:type="dxa"/>
          </w:tcPr>
          <w:p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036C06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036C06">
              <w:rPr>
                <w:sz w:val="25"/>
                <w:szCs w:val="25"/>
                <w:lang w:val="x-none" w:eastAsia="x-none"/>
              </w:rPr>
              <w:t>Начало</w:t>
            </w:r>
            <w:r w:rsidRPr="00036C06">
              <w:rPr>
                <w:sz w:val="25"/>
                <w:szCs w:val="25"/>
                <w:lang w:eastAsia="x-none"/>
              </w:rPr>
              <w:t>: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«</w:t>
            </w:r>
            <w:r w:rsidR="00036C06" w:rsidRPr="00036C06">
              <w:rPr>
                <w:sz w:val="25"/>
                <w:szCs w:val="25"/>
                <w:lang w:eastAsia="x-none"/>
              </w:rPr>
              <w:t>18</w:t>
            </w:r>
            <w:r w:rsidRPr="00036C06">
              <w:rPr>
                <w:sz w:val="25"/>
                <w:szCs w:val="25"/>
                <w:lang w:val="x-none" w:eastAsia="x-none"/>
              </w:rPr>
              <w:t>»</w:t>
            </w:r>
            <w:r w:rsidRPr="00036C06">
              <w:rPr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z w:val="25"/>
                <w:szCs w:val="25"/>
                <w:lang w:eastAsia="x-none"/>
              </w:rPr>
              <w:t>февраля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20</w:t>
            </w:r>
            <w:r w:rsidR="00036C06" w:rsidRPr="00036C06">
              <w:rPr>
                <w:sz w:val="25"/>
                <w:szCs w:val="25"/>
                <w:lang w:eastAsia="x-none"/>
              </w:rPr>
              <w:t>21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:rsidR="00BC5842" w:rsidRPr="00036C06" w:rsidRDefault="001014D0" w:rsidP="00036C06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Окончание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апреля</w:t>
            </w:r>
            <w:r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20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21</w:t>
            </w:r>
            <w:r w:rsidR="00516908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:rsidR="006856F8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Способ направления заполненного опросного листа</w:t>
            </w:r>
            <w:r w:rsidR="006856F8" w:rsidRPr="00036C06">
              <w:rPr>
                <w:sz w:val="25"/>
                <w:szCs w:val="25"/>
              </w:rPr>
              <w:t>:</w:t>
            </w:r>
          </w:p>
          <w:p w:rsidR="009F644C" w:rsidRPr="00036C06" w:rsidRDefault="00BC5842" w:rsidP="00BC5842">
            <w:pPr>
              <w:ind w:left="170"/>
              <w:jc w:val="both"/>
            </w:pPr>
            <w:r w:rsidRPr="00036C06">
              <w:rPr>
                <w:sz w:val="25"/>
                <w:szCs w:val="25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036C06">
              <w:rPr>
                <w:sz w:val="25"/>
                <w:szCs w:val="25"/>
              </w:rPr>
              <w:t>.</w:t>
            </w:r>
            <w:r w:rsidR="009F644C" w:rsidRPr="00036C06">
              <w:t xml:space="preserve"> </w:t>
            </w:r>
          </w:p>
          <w:p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036C06">
              <w:rPr>
                <w:sz w:val="25"/>
                <w:szCs w:val="25"/>
              </w:rPr>
              <w:t>ый</w:t>
            </w:r>
            <w:r w:rsidRPr="00036C06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Фамилия, имя, отчество</w:t>
            </w:r>
            <w:r w:rsidR="005776C8" w:rsidRPr="00036C06">
              <w:rPr>
                <w:sz w:val="25"/>
                <w:szCs w:val="25"/>
              </w:rPr>
              <w:t>:</w:t>
            </w:r>
            <w:r w:rsidRPr="00036C06">
              <w:rPr>
                <w:sz w:val="25"/>
                <w:szCs w:val="25"/>
              </w:rPr>
              <w:t xml:space="preserve"> </w:t>
            </w:r>
            <w:r w:rsidR="005776C8" w:rsidRPr="00036C06">
              <w:rPr>
                <w:sz w:val="25"/>
                <w:szCs w:val="25"/>
                <w:u w:val="single"/>
              </w:rPr>
              <w:t>Зуевская Анна Евгеньевна</w:t>
            </w:r>
          </w:p>
          <w:p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 xml:space="preserve">Должность </w:t>
            </w:r>
            <w:r w:rsidR="00B471BE" w:rsidRPr="00036C06">
              <w:rPr>
                <w:sz w:val="25"/>
                <w:szCs w:val="25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036C06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:rsidR="00BC5842" w:rsidRPr="00036C06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36C06">
              <w:rPr>
                <w:sz w:val="26"/>
                <w:szCs w:val="26"/>
              </w:rPr>
              <w:t>Телефон _____</w:t>
            </w:r>
            <w:r w:rsidR="009F644C" w:rsidRPr="00036C06">
              <w:rPr>
                <w:sz w:val="26"/>
                <w:szCs w:val="26"/>
                <w:u w:val="single"/>
              </w:rPr>
              <w:t>+7(495)</w:t>
            </w:r>
            <w:r w:rsidR="006856F8" w:rsidRPr="00036C06">
              <w:rPr>
                <w:sz w:val="26"/>
                <w:szCs w:val="26"/>
                <w:u w:val="single"/>
              </w:rPr>
              <w:t xml:space="preserve"> </w:t>
            </w:r>
            <w:r w:rsidR="009F644C" w:rsidRPr="00036C06">
              <w:rPr>
                <w:sz w:val="26"/>
                <w:szCs w:val="26"/>
                <w:u w:val="single"/>
              </w:rPr>
              <w:t xml:space="preserve">669-24-00 (доб. </w:t>
            </w:r>
            <w:r w:rsidR="00B471BE" w:rsidRPr="00036C06">
              <w:rPr>
                <w:sz w:val="26"/>
                <w:szCs w:val="26"/>
                <w:u w:val="single"/>
              </w:rPr>
              <w:t>3</w:t>
            </w:r>
            <w:r w:rsidR="009F644C" w:rsidRPr="00036C06">
              <w:rPr>
                <w:sz w:val="26"/>
                <w:szCs w:val="26"/>
                <w:u w:val="single"/>
              </w:rPr>
              <w:t>12</w:t>
            </w:r>
            <w:r w:rsidR="00B471BE" w:rsidRPr="00036C06">
              <w:rPr>
                <w:sz w:val="26"/>
                <w:szCs w:val="26"/>
                <w:u w:val="single"/>
              </w:rPr>
              <w:t>1</w:t>
            </w:r>
            <w:r w:rsidR="009F644C" w:rsidRPr="00036C06">
              <w:rPr>
                <w:sz w:val="26"/>
                <w:szCs w:val="26"/>
                <w:u w:val="single"/>
              </w:rPr>
              <w:t>)</w:t>
            </w:r>
            <w:r w:rsidRPr="00036C06">
              <w:rPr>
                <w:sz w:val="26"/>
                <w:szCs w:val="26"/>
              </w:rPr>
              <w:t>___</w:t>
            </w:r>
            <w:r w:rsidR="008901D6" w:rsidRPr="00036C06">
              <w:rPr>
                <w:sz w:val="26"/>
                <w:szCs w:val="26"/>
              </w:rPr>
              <w:t>_</w:t>
            </w:r>
          </w:p>
          <w:p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</w:t>
            </w:r>
          </w:p>
          <w:p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036C06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  <w:r w:rsidR="008901D6" w:rsidRPr="00036C06">
              <w:rPr>
                <w:bCs/>
                <w:kern w:val="32"/>
                <w:sz w:val="26"/>
                <w:szCs w:val="26"/>
                <w:lang w:eastAsia="x-none"/>
              </w:rPr>
              <w:t>__</w:t>
            </w:r>
          </w:p>
          <w:p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</w:t>
            </w:r>
            <w:r w:rsidRPr="00036C06">
              <w:rPr>
                <w:bCs/>
                <w:kern w:val="32"/>
                <w:sz w:val="26"/>
                <w:szCs w:val="26"/>
                <w:u w:val="single"/>
                <w:lang w:val="x-none" w:eastAsia="x-none"/>
              </w:rPr>
              <w:t>адрес электронной почты</w:t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)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</w:p>
          <w:p w:rsidR="00BC5842" w:rsidRPr="00036C06" w:rsidRDefault="00D50B4F" w:rsidP="009F644C">
            <w:pPr>
              <w:ind w:left="170"/>
              <w:jc w:val="both"/>
              <w:rPr>
                <w:sz w:val="26"/>
                <w:szCs w:val="26"/>
                <w:lang w:eastAsia="x-none"/>
              </w:rPr>
            </w:pPr>
            <w:hyperlink r:id="rId11" w:history="1">
              <w:r w:rsidR="00D373FB" w:rsidRPr="00036C06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x-none" w:eastAsia="x-none"/>
        </w:rPr>
      </w:pPr>
    </w:p>
    <w:p w:rsidR="00616DA0" w:rsidRDefault="00616DA0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:rsidR="00BC5842" w:rsidRPr="001014D0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1014D0" w:rsidRPr="001014D0" w:rsidTr="00E61611">
        <w:tc>
          <w:tcPr>
            <w:tcW w:w="4385" w:type="dxa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2F151F" w:rsidRDefault="002F151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Общество с ограниченной ответственностью «Сингента» (ООО «Сингента»)</w:t>
            </w:r>
          </w:p>
        </w:tc>
      </w:tr>
      <w:tr w:rsidR="001014D0" w:rsidRPr="001014D0" w:rsidTr="00E61611">
        <w:tc>
          <w:tcPr>
            <w:tcW w:w="4385" w:type="dxa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0420C0" w:rsidRDefault="000420C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Сельское хозяйство</w:t>
            </w:r>
          </w:p>
        </w:tc>
      </w:tr>
      <w:tr w:rsidR="001014D0" w:rsidRPr="001014D0" w:rsidTr="00E61611">
        <w:tc>
          <w:tcPr>
            <w:tcW w:w="4385" w:type="dxa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726A9F" w:rsidRDefault="00754E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 xml:space="preserve">Сидорина Светлана Ивановна – </w:t>
            </w:r>
            <w:r w:rsidRPr="00754EE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Директор по регистрации и регулированию в странах Восточной Европы</w:t>
            </w:r>
          </w:p>
          <w:p w:rsidR="00BC5842" w:rsidRPr="00754EE4" w:rsidRDefault="00726A9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Гришунина Екатерина Владимировна – Менеджер по регулированию и регистрации СЗР</w:t>
            </w:r>
            <w:r w:rsidR="00754EE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1014D0" w:rsidRPr="001014D0" w:rsidTr="00E61611">
        <w:tc>
          <w:tcPr>
            <w:tcW w:w="4385" w:type="dxa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D63E2" w:rsidRDefault="00BD63E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р</w:t>
            </w:r>
            <w:r w:rsidR="00DC4A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аб. +7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(</w:t>
            </w:r>
            <w:r w:rsidR="00DC4A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495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)</w:t>
            </w:r>
            <w:r w:rsidR="00DC4A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  <w:t>9337755</w:t>
            </w:r>
          </w:p>
        </w:tc>
      </w:tr>
      <w:tr w:rsidR="001014D0" w:rsidRPr="00BD63E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D63E2" w:rsidRDefault="00D50B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x-none"/>
              </w:rPr>
            </w:pPr>
            <w:hyperlink r:id="rId12" w:history="1">
              <w:r w:rsidR="00BD63E2" w:rsidRPr="00B65201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val="en-US" w:eastAsia="x-none"/>
                </w:rPr>
                <w:t>svetlana.sidorina@syngenta.com</w:t>
              </w:r>
            </w:hyperlink>
            <w:r w:rsidR="00BD63E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x-none"/>
              </w:rPr>
              <w:t xml:space="preserve">; </w:t>
            </w:r>
            <w:hyperlink r:id="rId13" w:history="1">
              <w:r w:rsidR="00BD63E2" w:rsidRPr="00B65201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val="en-US" w:eastAsia="x-none"/>
                </w:rPr>
                <w:t>ekaterina.grishunina@syngenta.com</w:t>
              </w:r>
            </w:hyperlink>
            <w:r w:rsidR="00BD63E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x-none"/>
              </w:rPr>
              <w:t xml:space="preserve"> 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1014D0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1014D0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решения проблемы наиболее оптимальным из числа рассмотренных департаментом-разработчиком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F4" w:rsidRPr="006569F4" w:rsidRDefault="006569F4" w:rsidP="006569F4">
            <w:pPr>
              <w:numPr>
                <w:ilvl w:val="0"/>
                <w:numId w:val="1"/>
              </w:numPr>
              <w:spacing w:after="0" w:line="256" w:lineRule="auto"/>
              <w:ind w:right="46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6569F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Нотификация</w:t>
            </w:r>
            <w:r w:rsidRPr="006569F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569F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новых</w:t>
            </w:r>
            <w:r w:rsidRPr="006569F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569F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химических</w:t>
            </w:r>
            <w:r w:rsidRPr="006569F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569F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веществ</w:t>
            </w:r>
            <w:r w:rsidRPr="006569F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GB"/>
              </w:rPr>
              <w:t>:</w:t>
            </w:r>
            <w:r w:rsidRPr="006569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CH"/>
              </w:rPr>
              <w:t xml:space="preserve"> </w:t>
            </w:r>
          </w:p>
          <w:p w:rsidR="006569F4" w:rsidRPr="006569F4" w:rsidRDefault="006569F4" w:rsidP="006569F4">
            <w:pPr>
              <w:numPr>
                <w:ilvl w:val="0"/>
                <w:numId w:val="3"/>
              </w:numPr>
              <w:spacing w:after="0" w:line="256" w:lineRule="auto"/>
              <w:ind w:right="46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656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Проект законодательства не предусматривает </w:t>
            </w:r>
            <w:bookmarkStart w:id="1" w:name="_Hlk68047194"/>
            <w:r w:rsidRPr="00656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многоуровневого подхода к исследованиям </w:t>
            </w:r>
            <w:bookmarkEnd w:id="1"/>
            <w:r w:rsidRPr="00656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на основании выпускаемого в обращение количества для новых химических веществ, которые должны быть включены в реестр химических веществ и смесей Евразийского экономического союза. Такой подход представляется нецелесообразным. Хотя мы и понимаем значение возможности поэтапного предоставления требуемой информации (см. ПОРЯДОК проведения нотификации новых химических веществ, пункты</w:t>
            </w:r>
            <w:r w:rsidRPr="006569F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7-10), все же все требования по предоставлению информации должны быть выполнены, даже для химических веществ, выпускаемых в обращение на территории Евразийского экономического союза в малом количестве. Во многих случаях это может быть экономически нецелесообразным, так как может иметься незначительное количество информации по таким веществам в свободном доступе и поэтому потребуется получение необходимых данных, что может оказаться дорогостоящим (например, для исследований по канцерогенности и опытов на нескольких поколениях животных, а также и других исследований), что помешает нотификации новых химических веществ в реестре </w:t>
            </w:r>
            <w:r w:rsidRPr="00656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химических веществ и смесей </w:t>
            </w:r>
            <w:bookmarkStart w:id="2" w:name="_Hlk68048804"/>
            <w:bookmarkStart w:id="3" w:name="_Hlk68047315"/>
            <w:r w:rsidRPr="00656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Евразийского экономического союза</w:t>
            </w:r>
            <w:bookmarkEnd w:id="2"/>
            <w:r w:rsidRPr="006569F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.</w:t>
            </w:r>
            <w:bookmarkEnd w:id="3"/>
            <w:r w:rsidRPr="006569F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Поэтому мы хотели бы поддержать </w:t>
            </w:r>
            <w:r w:rsidRPr="00656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многоуровневый подход к исследованиям/требованиям к предоставлению данных исходя из количества вещества, выпускаемого в обращение на таможенной территории Евразийского экономического союза</w:t>
            </w:r>
            <w:r w:rsidRPr="006569F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, что является общепринятой практикой во многих странах, например, аналогично установленной практике согласно регламентам </w:t>
            </w:r>
            <w:r w:rsidRPr="006569F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GB"/>
              </w:rPr>
              <w:t>KKDIK</w:t>
            </w:r>
            <w:r w:rsidRPr="006569F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в Турции и </w:t>
            </w:r>
            <w:r w:rsidRPr="006569F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GB"/>
              </w:rPr>
              <w:t>REACH</w:t>
            </w:r>
            <w:r w:rsidRPr="006569F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в Европейском союзе и т.д.</w:t>
            </w:r>
          </w:p>
          <w:p w:rsidR="006569F4" w:rsidRPr="006569F4" w:rsidRDefault="006569F4" w:rsidP="006569F4">
            <w:pPr>
              <w:numPr>
                <w:ilvl w:val="0"/>
                <w:numId w:val="3"/>
              </w:numPr>
              <w:spacing w:after="0" w:line="256" w:lineRule="auto"/>
              <w:ind w:right="46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69F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Кроме того, не определен минимальный порог информационных требований. Опять же представляется нецелесообразным и во многих случаях окажется экономически невыгодным проводить нотификацию новых химических веществ в </w:t>
            </w:r>
            <w:r w:rsidRPr="00656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Евразийском экономическом союзе</w:t>
            </w:r>
            <w:r w:rsidRPr="006569F4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  <w:p w:rsidR="00BC5842" w:rsidRPr="006569F4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F4" w:rsidRPr="00F43319" w:rsidRDefault="00BC5842" w:rsidP="006569F4">
            <w:pPr>
              <w:pStyle w:val="ab"/>
              <w:numPr>
                <w:ilvl w:val="0"/>
                <w:numId w:val="1"/>
              </w:numPr>
              <w:spacing w:after="0"/>
              <w:ind w:right="4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  <w:r w:rsidR="006569F4" w:rsidRPr="00F4331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lastRenderedPageBreak/>
              <w:t>Приложение</w:t>
            </w:r>
            <w:r w:rsidR="006569F4" w:rsidRPr="00F4331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7:</w:t>
            </w:r>
          </w:p>
          <w:p w:rsidR="006569F4" w:rsidRPr="00F43319" w:rsidRDefault="006569F4" w:rsidP="006569F4">
            <w:pPr>
              <w:rPr>
                <w:rFonts w:ascii="Arial" w:hAnsi="Arial" w:cs="Arial"/>
                <w:sz w:val="20"/>
                <w:szCs w:val="20"/>
              </w:rPr>
            </w:pPr>
            <w:r w:rsidRPr="00F43319">
              <w:rPr>
                <w:rFonts w:ascii="Arial" w:hAnsi="Arial" w:cs="Arial"/>
                <w:sz w:val="20"/>
                <w:szCs w:val="20"/>
              </w:rPr>
              <w:t>Вследствие объединения нескольких опасных свойств (например, канцерогенное действие, мутагенное действие, репродуктивную токсичность, хроническую токсичность для водной среды (класс 1)) под одним заголовком, триггер для включения вещества в Приложение 7 не всегда является абсолютно ясным.</w:t>
            </w:r>
          </w:p>
          <w:p w:rsidR="006569F4" w:rsidRPr="00AC04CA" w:rsidRDefault="006569F4" w:rsidP="006569F4">
            <w:pPr>
              <w:pStyle w:val="ab"/>
              <w:numPr>
                <w:ilvl w:val="0"/>
                <w:numId w:val="2"/>
              </w:numPr>
              <w:spacing w:after="0"/>
              <w:ind w:right="4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Следующие</w:t>
            </w:r>
            <w:r w:rsidRPr="00AC04C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вещества</w:t>
            </w:r>
            <w:r w:rsidRPr="00AC04C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не</w:t>
            </w:r>
            <w:r w:rsidRPr="00AC04C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должны</w:t>
            </w:r>
            <w:r w:rsidRPr="00AC04C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быть</w:t>
            </w:r>
            <w:r w:rsidRPr="00AC04C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включены</w:t>
            </w:r>
            <w:r w:rsidRPr="00AC04C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</w:t>
            </w:r>
            <w:r w:rsidRPr="00AC04C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Приложение</w:t>
            </w:r>
            <w:r w:rsidRPr="00AC04C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7: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1675"/>
              <w:gridCol w:w="1226"/>
              <w:gridCol w:w="1214"/>
              <w:gridCol w:w="3768"/>
            </w:tblGrid>
            <w:tr w:rsidR="006569F4" w:rsidRPr="009D7683" w:rsidTr="00610EFA"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F4" w:rsidRPr="00AC04CA" w:rsidRDefault="006569F4" w:rsidP="006569F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Вещество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CAS-No.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Критерий</w:t>
                  </w:r>
                  <w:r w:rsidRPr="009D7683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включения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Pr="00AC04CA" w:rsidRDefault="006569F4" w:rsidP="006569F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Обоснование</w:t>
                  </w:r>
                </w:p>
              </w:tc>
            </w:tr>
            <w:tr w:rsidR="006569F4" w:rsidRPr="009D4C69" w:rsidTr="00610EFA">
              <w:trPr>
                <w:trHeight w:val="1093"/>
              </w:trPr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Таблица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2, </w:t>
                  </w:r>
                </w:p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№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Диоксид титана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13463-67-7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. </w:t>
                  </w:r>
                </w:p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кат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Pr="009D4C69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Согласно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классификации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CLP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ЕС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Приложение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VI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14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-ая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ATP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(Адаптация)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классификация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как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канцероген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кат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2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ограничена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порошками,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содержащими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&gt; 1%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частиц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&lt; 10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микрон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Кроме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того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титановая индустрия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не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согласна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классификацией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EC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 подала в суд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Во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включении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приложение 7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нет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упоминания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специфических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критериев для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видов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воздействия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 размеров частиц</w:t>
                  </w:r>
                  <w:r w:rsidRPr="009D4C6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  <w:tr w:rsidR="006569F4" w:rsidRPr="00BA0627" w:rsidTr="00610EFA"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Таблица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5, </w:t>
                  </w:r>
                </w:p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№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Ацетон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67-64-1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Репрод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кат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. 1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Pr="00BA0627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Вещество не классифицируется как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CMR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канцероген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мутаген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репротоксин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согласно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критериям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GHS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Глобальной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гармонизированной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системы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классификации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</w:tc>
            </w:tr>
            <w:tr w:rsidR="006569F4" w:rsidRPr="00BA0627" w:rsidTr="00610EFA"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Таблица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3,</w:t>
                  </w:r>
                </w:p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No 421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Этанол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64-17-5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Мутаген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кат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. 1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Pr="00BA0627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Вещество не классифицируется как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CMR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канцероген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мутаген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репротоксин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согласно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критериям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GHS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Глобальной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гармонизированной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системы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классификации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 а также является продуктом питания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  <w:tr w:rsidR="006569F4" w:rsidRPr="00BA0627" w:rsidTr="00610EFA"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Таблица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2, </w:t>
                  </w:r>
                </w:p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№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Диэтаноламин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111-42-2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Канц кат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Pr="00BA0627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Вещество не классифицируется как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CMR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канцероген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мутаген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репротоксин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согласно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критериям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GHS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Глобальной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гармонизированной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системы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классификации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</w:tc>
            </w:tr>
            <w:tr w:rsidR="006569F4" w:rsidRPr="00BA0627" w:rsidTr="00610EFA"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Таблица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2, </w:t>
                  </w:r>
                </w:p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№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216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Этилбензол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100-41-4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гр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. 2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Pr="00BA0627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Вещество не классифицируется как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CMR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канцероген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мутаген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репротоксин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согласно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критериям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GHS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Глобальной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гармонизированной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системы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классификации</w:t>
                  </w:r>
                  <w:r w:rsidRPr="00BA062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</w:tc>
            </w:tr>
            <w:tr w:rsidR="006569F4" w:rsidRPr="00AE3359" w:rsidTr="00610EFA"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Таблица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1, </w:t>
                  </w:r>
                </w:p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№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Ethylene oxide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75-21-8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69F4" w:rsidRPr="009D7683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</w:t>
                  </w:r>
                  <w:r w:rsidRPr="009D768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1A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9F4" w:rsidRPr="00AE3359" w:rsidRDefault="006569F4" w:rsidP="006569F4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Хотя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вещество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действительно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классифицируется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как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канцероген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большинстве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случаев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оно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поступает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обращение в виде полимеров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которые не обладает этими опасными свойствами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этой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причине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включение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должно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ограничиваться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неполимерными формами</w:t>
                  </w:r>
                  <w:r w:rsidRPr="00AE335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6569F4" w:rsidRPr="00AE3359" w:rsidRDefault="006569F4" w:rsidP="006569F4">
            <w:pPr>
              <w:jc w:val="center"/>
              <w:rPr>
                <w:sz w:val="28"/>
                <w:szCs w:val="28"/>
              </w:rPr>
            </w:pPr>
          </w:p>
          <w:p w:rsidR="00BC5842" w:rsidRPr="001014D0" w:rsidRDefault="00BC5842" w:rsidP="00656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1014D0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IV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1014D0" w:rsidRPr="001014D0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1014D0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1014D0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lastRenderedPageBreak/>
        <w:t>2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1014D0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1014D0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Pr="001014D0" w:rsidRDefault="00BC5842" w:rsidP="003C663F">
      <w:pPr>
        <w:spacing w:after="0" w:line="240" w:lineRule="auto"/>
        <w:ind w:left="-142"/>
        <w:jc w:val="both"/>
      </w:pPr>
      <w:r w:rsidRPr="001014D0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1014D0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RPr="001014D0" w:rsidSect="005029A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4F" w:rsidRDefault="00D50B4F" w:rsidP="005029A2">
      <w:pPr>
        <w:spacing w:after="0" w:line="240" w:lineRule="auto"/>
      </w:pPr>
      <w:r>
        <w:separator/>
      </w:r>
    </w:p>
  </w:endnote>
  <w:endnote w:type="continuationSeparator" w:id="0">
    <w:p w:rsidR="00D50B4F" w:rsidRDefault="00D50B4F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4F" w:rsidRDefault="00D50B4F" w:rsidP="005029A2">
      <w:pPr>
        <w:spacing w:after="0" w:line="240" w:lineRule="auto"/>
      </w:pPr>
      <w:r>
        <w:separator/>
      </w:r>
    </w:p>
  </w:footnote>
  <w:footnote w:type="continuationSeparator" w:id="0">
    <w:p w:rsidR="00D50B4F" w:rsidRDefault="00D50B4F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50ED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734"/>
    <w:multiLevelType w:val="hybridMultilevel"/>
    <w:tmpl w:val="42DC46AA"/>
    <w:lvl w:ilvl="0" w:tplc="E9E6AFFE">
      <w:start w:val="1"/>
      <w:numFmt w:val="lowerLetter"/>
      <w:lvlText w:val="%1)"/>
      <w:lvlJc w:val="left"/>
      <w:pPr>
        <w:ind w:left="730" w:hanging="360"/>
      </w:pPr>
    </w:lvl>
    <w:lvl w:ilvl="1" w:tplc="08070019">
      <w:start w:val="1"/>
      <w:numFmt w:val="lowerLetter"/>
      <w:lvlText w:val="%2."/>
      <w:lvlJc w:val="left"/>
      <w:pPr>
        <w:ind w:left="1450" w:hanging="360"/>
      </w:pPr>
    </w:lvl>
    <w:lvl w:ilvl="2" w:tplc="0807001B">
      <w:start w:val="1"/>
      <w:numFmt w:val="lowerRoman"/>
      <w:lvlText w:val="%3."/>
      <w:lvlJc w:val="right"/>
      <w:pPr>
        <w:ind w:left="2170" w:hanging="180"/>
      </w:pPr>
    </w:lvl>
    <w:lvl w:ilvl="3" w:tplc="0807000F">
      <w:start w:val="1"/>
      <w:numFmt w:val="decimal"/>
      <w:lvlText w:val="%4."/>
      <w:lvlJc w:val="left"/>
      <w:pPr>
        <w:ind w:left="2890" w:hanging="360"/>
      </w:pPr>
    </w:lvl>
    <w:lvl w:ilvl="4" w:tplc="08070019">
      <w:start w:val="1"/>
      <w:numFmt w:val="lowerLetter"/>
      <w:lvlText w:val="%5."/>
      <w:lvlJc w:val="left"/>
      <w:pPr>
        <w:ind w:left="3610" w:hanging="360"/>
      </w:pPr>
    </w:lvl>
    <w:lvl w:ilvl="5" w:tplc="0807001B">
      <w:start w:val="1"/>
      <w:numFmt w:val="lowerRoman"/>
      <w:lvlText w:val="%6."/>
      <w:lvlJc w:val="right"/>
      <w:pPr>
        <w:ind w:left="4330" w:hanging="180"/>
      </w:pPr>
    </w:lvl>
    <w:lvl w:ilvl="6" w:tplc="0807000F">
      <w:start w:val="1"/>
      <w:numFmt w:val="decimal"/>
      <w:lvlText w:val="%7."/>
      <w:lvlJc w:val="left"/>
      <w:pPr>
        <w:ind w:left="5050" w:hanging="360"/>
      </w:pPr>
    </w:lvl>
    <w:lvl w:ilvl="7" w:tplc="08070019">
      <w:start w:val="1"/>
      <w:numFmt w:val="lowerLetter"/>
      <w:lvlText w:val="%8."/>
      <w:lvlJc w:val="left"/>
      <w:pPr>
        <w:ind w:left="5770" w:hanging="360"/>
      </w:pPr>
    </w:lvl>
    <w:lvl w:ilvl="8" w:tplc="0807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575C2394"/>
    <w:multiLevelType w:val="hybridMultilevel"/>
    <w:tmpl w:val="B3E62912"/>
    <w:lvl w:ilvl="0" w:tplc="F1CE147A">
      <w:start w:val="1"/>
      <w:numFmt w:val="decimal"/>
      <w:lvlText w:val="%1."/>
      <w:lvlJc w:val="left"/>
      <w:pPr>
        <w:ind w:left="37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8070019">
      <w:start w:val="1"/>
      <w:numFmt w:val="lowerLetter"/>
      <w:lvlText w:val="%2."/>
      <w:lvlJc w:val="left"/>
      <w:pPr>
        <w:ind w:left="1090" w:hanging="360"/>
      </w:pPr>
    </w:lvl>
    <w:lvl w:ilvl="2" w:tplc="0807001B">
      <w:start w:val="1"/>
      <w:numFmt w:val="lowerRoman"/>
      <w:lvlText w:val="%3."/>
      <w:lvlJc w:val="right"/>
      <w:pPr>
        <w:ind w:left="1810" w:hanging="180"/>
      </w:pPr>
    </w:lvl>
    <w:lvl w:ilvl="3" w:tplc="0807000F">
      <w:start w:val="1"/>
      <w:numFmt w:val="decimal"/>
      <w:lvlText w:val="%4."/>
      <w:lvlJc w:val="left"/>
      <w:pPr>
        <w:ind w:left="2530" w:hanging="360"/>
      </w:pPr>
    </w:lvl>
    <w:lvl w:ilvl="4" w:tplc="08070019">
      <w:start w:val="1"/>
      <w:numFmt w:val="lowerLetter"/>
      <w:lvlText w:val="%5."/>
      <w:lvlJc w:val="left"/>
      <w:pPr>
        <w:ind w:left="3250" w:hanging="360"/>
      </w:pPr>
    </w:lvl>
    <w:lvl w:ilvl="5" w:tplc="0807001B">
      <w:start w:val="1"/>
      <w:numFmt w:val="lowerRoman"/>
      <w:lvlText w:val="%6."/>
      <w:lvlJc w:val="right"/>
      <w:pPr>
        <w:ind w:left="3970" w:hanging="180"/>
      </w:pPr>
    </w:lvl>
    <w:lvl w:ilvl="6" w:tplc="0807000F">
      <w:start w:val="1"/>
      <w:numFmt w:val="decimal"/>
      <w:lvlText w:val="%7."/>
      <w:lvlJc w:val="left"/>
      <w:pPr>
        <w:ind w:left="4690" w:hanging="360"/>
      </w:pPr>
    </w:lvl>
    <w:lvl w:ilvl="7" w:tplc="08070019">
      <w:start w:val="1"/>
      <w:numFmt w:val="lowerLetter"/>
      <w:lvlText w:val="%8."/>
      <w:lvlJc w:val="left"/>
      <w:pPr>
        <w:ind w:left="5410" w:hanging="360"/>
      </w:pPr>
    </w:lvl>
    <w:lvl w:ilvl="8" w:tplc="0807001B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5F603278"/>
    <w:multiLevelType w:val="hybridMultilevel"/>
    <w:tmpl w:val="07546626"/>
    <w:lvl w:ilvl="0" w:tplc="2DC2E5AE">
      <w:start w:val="1"/>
      <w:numFmt w:val="russianLower"/>
      <w:lvlText w:val="%1)"/>
      <w:lvlJc w:val="left"/>
      <w:pPr>
        <w:ind w:left="73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50" w:hanging="360"/>
      </w:pPr>
    </w:lvl>
    <w:lvl w:ilvl="2" w:tplc="0807001B">
      <w:start w:val="1"/>
      <w:numFmt w:val="lowerRoman"/>
      <w:lvlText w:val="%3."/>
      <w:lvlJc w:val="right"/>
      <w:pPr>
        <w:ind w:left="2170" w:hanging="180"/>
      </w:pPr>
    </w:lvl>
    <w:lvl w:ilvl="3" w:tplc="0807000F">
      <w:start w:val="1"/>
      <w:numFmt w:val="decimal"/>
      <w:lvlText w:val="%4."/>
      <w:lvlJc w:val="left"/>
      <w:pPr>
        <w:ind w:left="2890" w:hanging="360"/>
      </w:pPr>
    </w:lvl>
    <w:lvl w:ilvl="4" w:tplc="08070019">
      <w:start w:val="1"/>
      <w:numFmt w:val="lowerLetter"/>
      <w:lvlText w:val="%5."/>
      <w:lvlJc w:val="left"/>
      <w:pPr>
        <w:ind w:left="3610" w:hanging="360"/>
      </w:pPr>
    </w:lvl>
    <w:lvl w:ilvl="5" w:tplc="0807001B">
      <w:start w:val="1"/>
      <w:numFmt w:val="lowerRoman"/>
      <w:lvlText w:val="%6."/>
      <w:lvlJc w:val="right"/>
      <w:pPr>
        <w:ind w:left="4330" w:hanging="180"/>
      </w:pPr>
    </w:lvl>
    <w:lvl w:ilvl="6" w:tplc="0807000F">
      <w:start w:val="1"/>
      <w:numFmt w:val="decimal"/>
      <w:lvlText w:val="%7."/>
      <w:lvlJc w:val="left"/>
      <w:pPr>
        <w:ind w:left="5050" w:hanging="360"/>
      </w:pPr>
    </w:lvl>
    <w:lvl w:ilvl="7" w:tplc="08070019">
      <w:start w:val="1"/>
      <w:numFmt w:val="lowerLetter"/>
      <w:lvlText w:val="%8."/>
      <w:lvlJc w:val="left"/>
      <w:pPr>
        <w:ind w:left="5770" w:hanging="360"/>
      </w:pPr>
    </w:lvl>
    <w:lvl w:ilvl="8" w:tplc="0807001B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6C06"/>
    <w:rsid w:val="00037AA5"/>
    <w:rsid w:val="00037B95"/>
    <w:rsid w:val="00040012"/>
    <w:rsid w:val="000414B1"/>
    <w:rsid w:val="000419DF"/>
    <w:rsid w:val="000420C0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6C04"/>
    <w:rsid w:val="00150ED1"/>
    <w:rsid w:val="0015173F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5544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51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10A3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69F4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56F8"/>
    <w:rsid w:val="00687EB1"/>
    <w:rsid w:val="006928A3"/>
    <w:rsid w:val="00692B61"/>
    <w:rsid w:val="006946E7"/>
    <w:rsid w:val="00695D89"/>
    <w:rsid w:val="00697157"/>
    <w:rsid w:val="00697200"/>
    <w:rsid w:val="006A0B57"/>
    <w:rsid w:val="006A0E59"/>
    <w:rsid w:val="006A3D43"/>
    <w:rsid w:val="006A4CC8"/>
    <w:rsid w:val="006A500C"/>
    <w:rsid w:val="006A5994"/>
    <w:rsid w:val="006A5C29"/>
    <w:rsid w:val="006A5F0D"/>
    <w:rsid w:val="006A5F25"/>
    <w:rsid w:val="006A62C5"/>
    <w:rsid w:val="006A6C4A"/>
    <w:rsid w:val="006A7AE5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26A9F"/>
    <w:rsid w:val="00730CEA"/>
    <w:rsid w:val="00731437"/>
    <w:rsid w:val="007352F7"/>
    <w:rsid w:val="00737628"/>
    <w:rsid w:val="00746E6C"/>
    <w:rsid w:val="007475C8"/>
    <w:rsid w:val="007516DB"/>
    <w:rsid w:val="00751E4F"/>
    <w:rsid w:val="00754EE4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1803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246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61CC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5BE3"/>
    <w:rsid w:val="00AA6D3C"/>
    <w:rsid w:val="00AB048D"/>
    <w:rsid w:val="00AB08D5"/>
    <w:rsid w:val="00AB10A9"/>
    <w:rsid w:val="00AB1ADF"/>
    <w:rsid w:val="00AB352B"/>
    <w:rsid w:val="00AB4ACD"/>
    <w:rsid w:val="00AB5E77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63E2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3AC"/>
    <w:rsid w:val="00C2352B"/>
    <w:rsid w:val="00C30E30"/>
    <w:rsid w:val="00C32E5D"/>
    <w:rsid w:val="00C371A2"/>
    <w:rsid w:val="00C37790"/>
    <w:rsid w:val="00C37E7A"/>
    <w:rsid w:val="00C41368"/>
    <w:rsid w:val="00C43516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373FB"/>
    <w:rsid w:val="00D40872"/>
    <w:rsid w:val="00D457CA"/>
    <w:rsid w:val="00D46498"/>
    <w:rsid w:val="00D46818"/>
    <w:rsid w:val="00D50B4F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AC3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3319"/>
    <w:rsid w:val="00F4437A"/>
    <w:rsid w:val="00F460D9"/>
    <w:rsid w:val="00F464B2"/>
    <w:rsid w:val="00F50C50"/>
    <w:rsid w:val="00F53C9D"/>
    <w:rsid w:val="00F542DE"/>
    <w:rsid w:val="00F554C5"/>
    <w:rsid w:val="00F55DB1"/>
    <w:rsid w:val="00F564F0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B1E7E-9F7D-461A-B57A-5FC0E4E0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D373FB"/>
    <w:rPr>
      <w:strike w:val="0"/>
      <w:dstrike w:val="0"/>
      <w:color w:val="142642"/>
      <w:u w:val="none"/>
      <w:effect w:val="none"/>
    </w:rPr>
  </w:style>
  <w:style w:type="paragraph" w:styleId="ab">
    <w:name w:val="List Paragraph"/>
    <w:basedOn w:val="a"/>
    <w:uiPriority w:val="34"/>
    <w:qFormat/>
    <w:rsid w:val="006569F4"/>
    <w:pPr>
      <w:spacing w:after="160" w:line="256" w:lineRule="auto"/>
      <w:ind w:left="720"/>
      <w:contextualSpacing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katerina.grishunina@syngent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vetlana.sidorina@syngent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4.xml><?xml version="1.0" encoding="utf-8"?>
<ds:datastoreItem xmlns:ds="http://schemas.openxmlformats.org/officeDocument/2006/customXml" ds:itemID="{5336A34E-E4C1-470A-9BE4-8E7A812E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1</cp:lastModifiedBy>
  <cp:revision>3</cp:revision>
  <cp:lastPrinted>2016-12-16T14:03:00Z</cp:lastPrinted>
  <dcterms:created xsi:type="dcterms:W3CDTF">2021-04-01T06:56:00Z</dcterms:created>
  <dcterms:modified xsi:type="dcterms:W3CDTF">2021-04-01T06:56:00Z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