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F4C6659" wp14:editId="40FF3ACD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1A7F957A" wp14:editId="2B963C5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0220E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4B2F4B" w:rsidRDefault="004B2F4B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E7726A" w:rsidRPr="00971CCF" w:rsidRDefault="00AC0D1B" w:rsidP="002E2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EB5C8C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О </w:t>
      </w:r>
      <w:r w:rsidR="00971CCF" w:rsidRPr="00971CCF">
        <w:rPr>
          <w:rFonts w:ascii="Times New Roman" w:hAnsi="Times New Roman" w:cs="Times New Roman"/>
          <w:b/>
          <w:color w:val="000000"/>
          <w:sz w:val="30"/>
          <w:szCs w:val="30"/>
        </w:rPr>
        <w:t>внесении изменени</w:t>
      </w:r>
      <w:r w:rsidR="00DA6825">
        <w:rPr>
          <w:rFonts w:ascii="Times New Roman" w:hAnsi="Times New Roman" w:cs="Times New Roman"/>
          <w:b/>
          <w:color w:val="000000"/>
          <w:sz w:val="30"/>
          <w:szCs w:val="30"/>
        </w:rPr>
        <w:t>й</w:t>
      </w:r>
      <w:r w:rsidR="00971CCF" w:rsidRPr="00971CCF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в </w:t>
      </w:r>
      <w:r w:rsidR="002E2669" w:rsidRPr="002E2669">
        <w:rPr>
          <w:rFonts w:ascii="Times New Roman" w:hAnsi="Times New Roman" w:cs="Times New Roman"/>
          <w:b/>
          <w:color w:val="000000"/>
          <w:sz w:val="30"/>
          <w:szCs w:val="30"/>
        </w:rPr>
        <w:t>раздел II перечня товаров, происходящих из развивающихся стран или из наименее развитых стран,</w:t>
      </w:r>
      <w:r w:rsidR="000579D1">
        <w:rPr>
          <w:rFonts w:ascii="Times New Roman" w:hAnsi="Times New Roman" w:cs="Times New Roman"/>
          <w:b/>
          <w:color w:val="000000"/>
          <w:sz w:val="30"/>
          <w:szCs w:val="30"/>
        </w:rPr>
        <w:br/>
      </w:r>
      <w:r w:rsidR="002E2669" w:rsidRPr="002E2669">
        <w:rPr>
          <w:rFonts w:ascii="Times New Roman" w:hAnsi="Times New Roman" w:cs="Times New Roman"/>
          <w:b/>
          <w:color w:val="000000"/>
          <w:sz w:val="30"/>
          <w:szCs w:val="30"/>
        </w:rPr>
        <w:t>в отношении которых при ввозе на таможенную территорию Евразийского экономического союза предоставляются тарифные преференции</w:t>
      </w:r>
      <w:r w:rsidR="00A8286E">
        <w:rPr>
          <w:rFonts w:ascii="Times New Roman" w:hAnsi="Times New Roman" w:cs="Times New Roman"/>
          <w:b/>
          <w:color w:val="000000"/>
          <w:sz w:val="30"/>
          <w:szCs w:val="30"/>
        </w:rPr>
        <w:t>,</w:t>
      </w:r>
      <w:r w:rsidR="00D30481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D30481" w:rsidRPr="00D30481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в отношении </w:t>
      </w:r>
      <w:bookmarkStart w:id="0" w:name="_GoBack"/>
      <w:bookmarkEnd w:id="0"/>
      <w:r w:rsidR="008119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шнуров огнепроводных, шнуров детонирующих, капсюлей ударных, капсюлей детонирующих, запалов и электродетонаторов</w:t>
      </w:r>
    </w:p>
    <w:p w:rsidR="00600F0E" w:rsidRDefault="00600F0E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7726A" w:rsidRPr="008233D6" w:rsidRDefault="00E7726A" w:rsidP="00A44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20"/>
          <w:sz w:val="30"/>
          <w:szCs w:val="30"/>
          <w:lang w:eastAsia="ru-RU"/>
        </w:rPr>
      </w:pPr>
      <w:r w:rsidRPr="00A063F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В соответствии со </w:t>
      </w:r>
      <w:r w:rsidR="000F0A8A" w:rsidRPr="00A063F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стать</w:t>
      </w:r>
      <w:r w:rsidR="00F2762A" w:rsidRPr="00A063F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ей</w:t>
      </w:r>
      <w:r w:rsidR="00CE0DDC" w:rsidRPr="00A063F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063F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45 Договора о Евразийском</w:t>
      </w:r>
      <w:r w:rsidRPr="00DE1F2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экономическом союзе от 29 мая 2014 года</w:t>
      </w:r>
      <w:r w:rsidR="00BB1D50" w:rsidRPr="00DE1F2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3205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Совет</w:t>
      </w:r>
      <w:r w:rsidRPr="008233D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  <w:r w:rsidRPr="008233D6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E2643F">
        <w:rPr>
          <w:rFonts w:ascii="Times New Roman Полужирный" w:eastAsia="Calibri" w:hAnsi="Times New Roman Полужирный" w:cs="Times New Roman"/>
          <w:b/>
          <w:bCs/>
          <w:color w:val="000000"/>
          <w:sz w:val="30"/>
          <w:szCs w:val="30"/>
          <w:lang w:eastAsia="ru-RU"/>
        </w:rPr>
        <w:t>л:</w:t>
      </w:r>
    </w:p>
    <w:p w:rsidR="00971CCF" w:rsidRDefault="00E7726A" w:rsidP="00A440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971CCF" w:rsidRPr="00971CC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</w:t>
      </w:r>
      <w:r w:rsidR="00971CCF"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разделе II перечня товаров, происходящих</w:t>
      </w:r>
      <w:r w:rsidR="00971CCF" w:rsidRPr="00971CC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из развивающихся стран или из наименее развитых стран, в отношении </w:t>
      </w:r>
      <w:r w:rsidR="00971CCF" w:rsidRPr="00971CCF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</w:t>
      </w:r>
      <w:r w:rsid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971CCF"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код</w:t>
      </w:r>
      <w:r w:rsidR="004B2F4B">
        <w:rPr>
          <w:rFonts w:ascii="Times New Roman" w:eastAsia="Times New Roman" w:hAnsi="Times New Roman" w:cs="Times New Roman"/>
          <w:snapToGrid w:val="0"/>
          <w:sz w:val="30"/>
          <w:szCs w:val="30"/>
        </w:rPr>
        <w:t>ы</w:t>
      </w:r>
      <w:r w:rsidR="00971CCF"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«</w:t>
      </w:r>
      <w:r w:rsidR="004B2F4B">
        <w:rPr>
          <w:rFonts w:ascii="Times New Roman" w:eastAsia="Times New Roman" w:hAnsi="Times New Roman" w:cs="Times New Roman"/>
          <w:snapToGrid w:val="0"/>
          <w:sz w:val="30"/>
          <w:szCs w:val="30"/>
        </w:rPr>
        <w:t>3603 00 100 9, 3603 00 900 9</w:t>
      </w:r>
      <w:r w:rsidR="00971CCF"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» ТН</w:t>
      </w:r>
      <w:r w:rsidR="004B2F4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971CCF"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ВЭД</w:t>
      </w:r>
      <w:r w:rsidR="004B2F4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971CCF"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ЕАЭС заменить</w:t>
      </w:r>
      <w:r w:rsidR="004B2F4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971CCF"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кодами «</w:t>
      </w:r>
      <w:r w:rsidR="004B2F4B">
        <w:rPr>
          <w:rFonts w:ascii="Times New Roman" w:eastAsia="Times New Roman" w:hAnsi="Times New Roman" w:cs="Times New Roman"/>
          <w:snapToGrid w:val="0"/>
          <w:sz w:val="30"/>
          <w:szCs w:val="30"/>
        </w:rPr>
        <w:t>3603 </w:t>
      </w:r>
      <w:r w:rsidR="002174CA">
        <w:rPr>
          <w:rFonts w:ascii="Times New Roman" w:eastAsia="Times New Roman" w:hAnsi="Times New Roman" w:cs="Times New Roman"/>
          <w:snapToGrid w:val="0"/>
          <w:sz w:val="30"/>
          <w:szCs w:val="30"/>
        </w:rPr>
        <w:t>00 </w:t>
      </w:r>
      <w:r w:rsidR="004B2F4B">
        <w:rPr>
          <w:rFonts w:ascii="Times New Roman" w:eastAsia="Times New Roman" w:hAnsi="Times New Roman" w:cs="Times New Roman"/>
          <w:snapToGrid w:val="0"/>
          <w:sz w:val="30"/>
          <w:szCs w:val="30"/>
        </w:rPr>
        <w:t>100 2, 3603 00 100 8, 3603 00 900 2, 3603 00 900 4, 3603 00 900 5, 3603 00 900 6</w:t>
      </w:r>
      <w:r w:rsidR="00971CCF"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»</w:t>
      </w:r>
      <w:r w:rsid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ТН</w:t>
      </w:r>
      <w:r w:rsidR="00387C86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ВЭД</w:t>
      </w:r>
      <w:r w:rsidR="00387C8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ЕАЭС.</w:t>
      </w:r>
    </w:p>
    <w:p w:rsidR="00D97EF2" w:rsidRDefault="00971CCF" w:rsidP="00A44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D97EF2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Настоящее Решение вступает в силу по истечении</w:t>
      </w:r>
      <w:r w:rsidR="004E42C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41896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 w:rsidR="004E42CA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календарных дней с даты его официального опубликования.</w:t>
      </w:r>
    </w:p>
    <w:p w:rsidR="00387C86" w:rsidRDefault="00387C86" w:rsidP="00A44095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64DB5" w:rsidRDefault="00064DB5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56D6B" w:rsidRPr="00FF38FD" w:rsidRDefault="00356D6B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064DB5" w:rsidRPr="00915E97" w:rsidRDefault="00064DB5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56D6B" w:rsidRPr="00AE77CF" w:rsidTr="00687EA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56D6B" w:rsidRPr="00E450EA" w:rsidRDefault="00356D6B" w:rsidP="00687EA1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56D6B" w:rsidRPr="00E450EA" w:rsidRDefault="00356D6B" w:rsidP="00687EA1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56D6B" w:rsidRPr="00E450EA" w:rsidRDefault="00356D6B" w:rsidP="00687EA1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356D6B" w:rsidRPr="00AE77CF" w:rsidTr="00687EA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56D6B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0579D1" w:rsidRPr="002136E7" w:rsidRDefault="000579D1" w:rsidP="00687EA1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Pr="00A44095" w:rsidRDefault="00A44095" w:rsidP="00687EA1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A4409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356D6B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0579D1" w:rsidRPr="002136E7" w:rsidRDefault="000579D1" w:rsidP="00687EA1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Pr="00A44095" w:rsidRDefault="00A44095" w:rsidP="00687EA1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A4409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 Петришенко</w:t>
            </w:r>
          </w:p>
        </w:tc>
        <w:tc>
          <w:tcPr>
            <w:tcW w:w="1944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0579D1" w:rsidRPr="002136E7" w:rsidRDefault="000579D1" w:rsidP="00687EA1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356D6B" w:rsidRPr="00A44095" w:rsidRDefault="00A44095" w:rsidP="00F17450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A4409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 Смаилов</w:t>
            </w:r>
          </w:p>
        </w:tc>
        <w:tc>
          <w:tcPr>
            <w:tcW w:w="2025" w:type="dxa"/>
            <w:vAlign w:val="bottom"/>
          </w:tcPr>
          <w:p w:rsidR="00356D6B" w:rsidRPr="0080726A" w:rsidRDefault="00325133" w:rsidP="00325133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Ж</w:t>
            </w:r>
            <w:r w:rsidR="0080726A" w:rsidRPr="0080726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.</w:t>
            </w:r>
            <w:r w:rsidR="0080726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Разаков</w:t>
            </w:r>
          </w:p>
        </w:tc>
        <w:tc>
          <w:tcPr>
            <w:tcW w:w="1944" w:type="dxa"/>
            <w:vAlign w:val="bottom"/>
          </w:tcPr>
          <w:p w:rsidR="00356D6B" w:rsidRPr="00A44095" w:rsidRDefault="00A44095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 Силуанов</w:t>
            </w:r>
          </w:p>
        </w:tc>
      </w:tr>
    </w:tbl>
    <w:p w:rsidR="00190A8F" w:rsidRPr="009C4F6B" w:rsidRDefault="00190A8F" w:rsidP="001D2895">
      <w:pPr>
        <w:spacing w:line="240" w:lineRule="auto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190A8F" w:rsidRPr="009C4F6B" w:rsidSect="0081193F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ED1" w:rsidRDefault="00985ED1" w:rsidP="004E7251">
      <w:pPr>
        <w:spacing w:after="0" w:line="240" w:lineRule="auto"/>
      </w:pPr>
      <w:r>
        <w:separator/>
      </w:r>
    </w:p>
  </w:endnote>
  <w:endnote w:type="continuationSeparator" w:id="0">
    <w:p w:rsidR="00985ED1" w:rsidRDefault="00985ED1" w:rsidP="004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ED1" w:rsidRDefault="00985ED1" w:rsidP="004E7251">
      <w:pPr>
        <w:spacing w:after="0" w:line="240" w:lineRule="auto"/>
      </w:pPr>
      <w:r>
        <w:separator/>
      </w:r>
    </w:p>
  </w:footnote>
  <w:footnote w:type="continuationSeparator" w:id="0">
    <w:p w:rsidR="00985ED1" w:rsidRDefault="00985ED1" w:rsidP="004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362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E7251" w:rsidRDefault="004E7251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2643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2643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2643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1193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2643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21374" w:rsidRPr="00E2643F" w:rsidRDefault="00521374">
    <w:pPr>
      <w:pStyle w:val="a6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42282"/>
    <w:rsid w:val="00051FB0"/>
    <w:rsid w:val="00052AE5"/>
    <w:rsid w:val="000579D1"/>
    <w:rsid w:val="00064DB5"/>
    <w:rsid w:val="000664AA"/>
    <w:rsid w:val="00076CAB"/>
    <w:rsid w:val="000816FD"/>
    <w:rsid w:val="00091B6A"/>
    <w:rsid w:val="000A0209"/>
    <w:rsid w:val="000A2659"/>
    <w:rsid w:val="000A5D8C"/>
    <w:rsid w:val="000A5FD0"/>
    <w:rsid w:val="000B1B28"/>
    <w:rsid w:val="000B3B2D"/>
    <w:rsid w:val="000D2C1B"/>
    <w:rsid w:val="000E5B93"/>
    <w:rsid w:val="000E5FF5"/>
    <w:rsid w:val="000F04C7"/>
    <w:rsid w:val="000F0A8A"/>
    <w:rsid w:val="00103E7A"/>
    <w:rsid w:val="001356CE"/>
    <w:rsid w:val="00136D38"/>
    <w:rsid w:val="00141C36"/>
    <w:rsid w:val="001801DB"/>
    <w:rsid w:val="00185E01"/>
    <w:rsid w:val="00190A8F"/>
    <w:rsid w:val="00194C45"/>
    <w:rsid w:val="00194F6F"/>
    <w:rsid w:val="001A0333"/>
    <w:rsid w:val="001A6DEA"/>
    <w:rsid w:val="001B338E"/>
    <w:rsid w:val="001B5AB6"/>
    <w:rsid w:val="001C1726"/>
    <w:rsid w:val="001D1253"/>
    <w:rsid w:val="001D2895"/>
    <w:rsid w:val="00210556"/>
    <w:rsid w:val="002136E7"/>
    <w:rsid w:val="00217457"/>
    <w:rsid w:val="002174CA"/>
    <w:rsid w:val="00223333"/>
    <w:rsid w:val="00241896"/>
    <w:rsid w:val="00273D7D"/>
    <w:rsid w:val="00291480"/>
    <w:rsid w:val="002A2CA6"/>
    <w:rsid w:val="002B4204"/>
    <w:rsid w:val="002E0311"/>
    <w:rsid w:val="002E2669"/>
    <w:rsid w:val="002E3AB0"/>
    <w:rsid w:val="00307E7F"/>
    <w:rsid w:val="00325133"/>
    <w:rsid w:val="00332D74"/>
    <w:rsid w:val="003375FD"/>
    <w:rsid w:val="003507A7"/>
    <w:rsid w:val="00356D6B"/>
    <w:rsid w:val="00357A1F"/>
    <w:rsid w:val="00361C89"/>
    <w:rsid w:val="00387C86"/>
    <w:rsid w:val="00395666"/>
    <w:rsid w:val="003A4517"/>
    <w:rsid w:val="003A73D3"/>
    <w:rsid w:val="003A7BCA"/>
    <w:rsid w:val="003C452A"/>
    <w:rsid w:val="00426C92"/>
    <w:rsid w:val="00467309"/>
    <w:rsid w:val="00471569"/>
    <w:rsid w:val="004811B3"/>
    <w:rsid w:val="00485FA0"/>
    <w:rsid w:val="004A38D9"/>
    <w:rsid w:val="004B01B3"/>
    <w:rsid w:val="004B2F4B"/>
    <w:rsid w:val="004B4B30"/>
    <w:rsid w:val="004E42CA"/>
    <w:rsid w:val="004E7251"/>
    <w:rsid w:val="004F3203"/>
    <w:rsid w:val="004F509D"/>
    <w:rsid w:val="004F5FB6"/>
    <w:rsid w:val="00500EC3"/>
    <w:rsid w:val="00521374"/>
    <w:rsid w:val="00556E6E"/>
    <w:rsid w:val="00557312"/>
    <w:rsid w:val="00561459"/>
    <w:rsid w:val="0056212A"/>
    <w:rsid w:val="00562983"/>
    <w:rsid w:val="00566C7E"/>
    <w:rsid w:val="00577575"/>
    <w:rsid w:val="00577CF6"/>
    <w:rsid w:val="00584045"/>
    <w:rsid w:val="00584A63"/>
    <w:rsid w:val="005A4BE5"/>
    <w:rsid w:val="005E5EE6"/>
    <w:rsid w:val="005F2B41"/>
    <w:rsid w:val="005F5148"/>
    <w:rsid w:val="00600F0E"/>
    <w:rsid w:val="006144FA"/>
    <w:rsid w:val="006176D0"/>
    <w:rsid w:val="006535A4"/>
    <w:rsid w:val="006611AA"/>
    <w:rsid w:val="006643D1"/>
    <w:rsid w:val="00665023"/>
    <w:rsid w:val="006B5B67"/>
    <w:rsid w:val="006B72FF"/>
    <w:rsid w:val="006B777C"/>
    <w:rsid w:val="006C7CB6"/>
    <w:rsid w:val="006D02A6"/>
    <w:rsid w:val="006D4557"/>
    <w:rsid w:val="007258A3"/>
    <w:rsid w:val="007413F8"/>
    <w:rsid w:val="00746A95"/>
    <w:rsid w:val="00782CAE"/>
    <w:rsid w:val="00786B28"/>
    <w:rsid w:val="007A4E23"/>
    <w:rsid w:val="007B06AC"/>
    <w:rsid w:val="007C2408"/>
    <w:rsid w:val="007F6CB2"/>
    <w:rsid w:val="00804180"/>
    <w:rsid w:val="0080726A"/>
    <w:rsid w:val="0081193F"/>
    <w:rsid w:val="00814459"/>
    <w:rsid w:val="00824004"/>
    <w:rsid w:val="00825418"/>
    <w:rsid w:val="00827287"/>
    <w:rsid w:val="00840471"/>
    <w:rsid w:val="0084471E"/>
    <w:rsid w:val="0085435E"/>
    <w:rsid w:val="008543F4"/>
    <w:rsid w:val="00860CA5"/>
    <w:rsid w:val="00871E87"/>
    <w:rsid w:val="00874D7C"/>
    <w:rsid w:val="00890D13"/>
    <w:rsid w:val="008B076E"/>
    <w:rsid w:val="008C2506"/>
    <w:rsid w:val="008E1CE4"/>
    <w:rsid w:val="00910CA6"/>
    <w:rsid w:val="00915E97"/>
    <w:rsid w:val="00946E20"/>
    <w:rsid w:val="00971CCF"/>
    <w:rsid w:val="00980AFD"/>
    <w:rsid w:val="00985ED1"/>
    <w:rsid w:val="009A1EC8"/>
    <w:rsid w:val="009C4F6B"/>
    <w:rsid w:val="009C6B5D"/>
    <w:rsid w:val="009D058D"/>
    <w:rsid w:val="009D0D69"/>
    <w:rsid w:val="009D494A"/>
    <w:rsid w:val="00A06005"/>
    <w:rsid w:val="00A063F6"/>
    <w:rsid w:val="00A23954"/>
    <w:rsid w:val="00A44095"/>
    <w:rsid w:val="00A65FED"/>
    <w:rsid w:val="00A74A38"/>
    <w:rsid w:val="00A8286E"/>
    <w:rsid w:val="00A82D7A"/>
    <w:rsid w:val="00A85CD9"/>
    <w:rsid w:val="00AB49E7"/>
    <w:rsid w:val="00AC0615"/>
    <w:rsid w:val="00AC0D1B"/>
    <w:rsid w:val="00AC1F8E"/>
    <w:rsid w:val="00AD5167"/>
    <w:rsid w:val="00AE18F3"/>
    <w:rsid w:val="00AE3988"/>
    <w:rsid w:val="00B23E93"/>
    <w:rsid w:val="00B449DE"/>
    <w:rsid w:val="00B63205"/>
    <w:rsid w:val="00B77626"/>
    <w:rsid w:val="00B860DD"/>
    <w:rsid w:val="00BB1D50"/>
    <w:rsid w:val="00BD0C4C"/>
    <w:rsid w:val="00BE27E5"/>
    <w:rsid w:val="00BF4E47"/>
    <w:rsid w:val="00BF63D0"/>
    <w:rsid w:val="00C06551"/>
    <w:rsid w:val="00C14459"/>
    <w:rsid w:val="00C33DC6"/>
    <w:rsid w:val="00C53063"/>
    <w:rsid w:val="00C541F9"/>
    <w:rsid w:val="00C67E60"/>
    <w:rsid w:val="00C75EE5"/>
    <w:rsid w:val="00C775EF"/>
    <w:rsid w:val="00C834A9"/>
    <w:rsid w:val="00C930AC"/>
    <w:rsid w:val="00CA3A48"/>
    <w:rsid w:val="00CA6854"/>
    <w:rsid w:val="00CD55DB"/>
    <w:rsid w:val="00CD7F44"/>
    <w:rsid w:val="00CE0DDC"/>
    <w:rsid w:val="00D30481"/>
    <w:rsid w:val="00D353B3"/>
    <w:rsid w:val="00D4431F"/>
    <w:rsid w:val="00D66C2C"/>
    <w:rsid w:val="00D97EF2"/>
    <w:rsid w:val="00DA2C20"/>
    <w:rsid w:val="00DA6825"/>
    <w:rsid w:val="00DA6A13"/>
    <w:rsid w:val="00DE1F22"/>
    <w:rsid w:val="00DE6E01"/>
    <w:rsid w:val="00E04C0E"/>
    <w:rsid w:val="00E04D37"/>
    <w:rsid w:val="00E2643F"/>
    <w:rsid w:val="00E4075F"/>
    <w:rsid w:val="00E63BE2"/>
    <w:rsid w:val="00E651DD"/>
    <w:rsid w:val="00E7726A"/>
    <w:rsid w:val="00E8150D"/>
    <w:rsid w:val="00E84A37"/>
    <w:rsid w:val="00EA3076"/>
    <w:rsid w:val="00EA679B"/>
    <w:rsid w:val="00EB5C8C"/>
    <w:rsid w:val="00ED61D8"/>
    <w:rsid w:val="00EE330F"/>
    <w:rsid w:val="00EF3595"/>
    <w:rsid w:val="00EF4F55"/>
    <w:rsid w:val="00F15685"/>
    <w:rsid w:val="00F17450"/>
    <w:rsid w:val="00F23320"/>
    <w:rsid w:val="00F254E6"/>
    <w:rsid w:val="00F2762A"/>
    <w:rsid w:val="00F358CC"/>
    <w:rsid w:val="00F54793"/>
    <w:rsid w:val="00F5618E"/>
    <w:rsid w:val="00F63787"/>
    <w:rsid w:val="00F97F69"/>
    <w:rsid w:val="00FA09C0"/>
    <w:rsid w:val="00FC4292"/>
    <w:rsid w:val="00F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48491-D324-4985-AEE4-40E73AB2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251"/>
  </w:style>
  <w:style w:type="paragraph" w:styleId="a8">
    <w:name w:val="footer"/>
    <w:basedOn w:val="a"/>
    <w:link w:val="a9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7251"/>
  </w:style>
  <w:style w:type="paragraph" w:styleId="aa">
    <w:name w:val="List Paragraph"/>
    <w:basedOn w:val="a"/>
    <w:uiPriority w:val="34"/>
    <w:qFormat/>
    <w:rsid w:val="00600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A22337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720F6"/>
    <w:rsid w:val="0008042C"/>
    <w:rsid w:val="000B1FDC"/>
    <w:rsid w:val="000E3C0C"/>
    <w:rsid w:val="001208E2"/>
    <w:rsid w:val="00146BB9"/>
    <w:rsid w:val="00162634"/>
    <w:rsid w:val="001B5C6E"/>
    <w:rsid w:val="001D46F0"/>
    <w:rsid w:val="001F127A"/>
    <w:rsid w:val="00214A57"/>
    <w:rsid w:val="00274283"/>
    <w:rsid w:val="002C025D"/>
    <w:rsid w:val="002C0C01"/>
    <w:rsid w:val="003134E1"/>
    <w:rsid w:val="00320911"/>
    <w:rsid w:val="003333FC"/>
    <w:rsid w:val="00352BCC"/>
    <w:rsid w:val="00355E09"/>
    <w:rsid w:val="00366707"/>
    <w:rsid w:val="003C1242"/>
    <w:rsid w:val="00401EFD"/>
    <w:rsid w:val="004114A7"/>
    <w:rsid w:val="00447FD2"/>
    <w:rsid w:val="00504CF2"/>
    <w:rsid w:val="006A32ED"/>
    <w:rsid w:val="006B4232"/>
    <w:rsid w:val="006B5BE5"/>
    <w:rsid w:val="006D3430"/>
    <w:rsid w:val="007C038E"/>
    <w:rsid w:val="007C309D"/>
    <w:rsid w:val="00850250"/>
    <w:rsid w:val="00887F3C"/>
    <w:rsid w:val="008B268C"/>
    <w:rsid w:val="009B3E4D"/>
    <w:rsid w:val="009D07E9"/>
    <w:rsid w:val="009E214A"/>
    <w:rsid w:val="009E6406"/>
    <w:rsid w:val="00A04324"/>
    <w:rsid w:val="00A22337"/>
    <w:rsid w:val="00A43CFD"/>
    <w:rsid w:val="00AD3189"/>
    <w:rsid w:val="00B12983"/>
    <w:rsid w:val="00B161E1"/>
    <w:rsid w:val="00B34577"/>
    <w:rsid w:val="00B959FD"/>
    <w:rsid w:val="00BB63C0"/>
    <w:rsid w:val="00C30ACA"/>
    <w:rsid w:val="00C376B5"/>
    <w:rsid w:val="00C53E09"/>
    <w:rsid w:val="00CC06A6"/>
    <w:rsid w:val="00CF6092"/>
    <w:rsid w:val="00DA4F4B"/>
    <w:rsid w:val="00E14533"/>
    <w:rsid w:val="00FA1F9E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025D"/>
    <w:rPr>
      <w:color w:val="808080"/>
    </w:rPr>
  </w:style>
  <w:style w:type="paragraph" w:customStyle="1" w:styleId="94F22777E1A44F8587BD830125D93044">
    <w:name w:val="94F22777E1A44F8587BD830125D93044"/>
    <w:rsid w:val="002C0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E91D-37AB-4F65-B22B-06F2C4AD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7</cp:revision>
  <cp:lastPrinted>2019-12-19T07:11:00Z</cp:lastPrinted>
  <dcterms:created xsi:type="dcterms:W3CDTF">2019-05-17T11:22:00Z</dcterms:created>
  <dcterms:modified xsi:type="dcterms:W3CDTF">2019-12-19T11:49:00Z</dcterms:modified>
</cp:coreProperties>
</file>