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422C" w14:textId="00864467" w:rsidR="00EE6AD1" w:rsidRPr="001F6AE9" w:rsidRDefault="00EE6AD1" w:rsidP="00EE6AD1">
      <w:pPr>
        <w:spacing w:after="0" w:line="240" w:lineRule="auto"/>
        <w:ind w:left="4248" w:firstLine="708"/>
        <w:jc w:val="right"/>
        <w:rPr>
          <w:rFonts w:ascii="Tahoma" w:hAnsi="Tahoma" w:cs="Tahoma"/>
          <w:bCs/>
          <w:sz w:val="18"/>
          <w:szCs w:val="18"/>
        </w:rPr>
      </w:pPr>
      <w:r w:rsidRPr="001F6AE9">
        <w:rPr>
          <w:rFonts w:ascii="Tahoma" w:hAnsi="Tahoma" w:cs="Tahoma"/>
          <w:bCs/>
          <w:sz w:val="18"/>
          <w:szCs w:val="18"/>
        </w:rPr>
        <w:t xml:space="preserve">Приложение 1 к Письму АЕБ №      от </w:t>
      </w:r>
      <w:proofErr w:type="gramStart"/>
      <w:r w:rsidRPr="001F6AE9">
        <w:rPr>
          <w:rFonts w:ascii="Tahoma" w:hAnsi="Tahoma" w:cs="Tahoma"/>
          <w:bCs/>
          <w:sz w:val="18"/>
          <w:szCs w:val="18"/>
        </w:rPr>
        <w:t>«</w:t>
      </w:r>
      <w:r w:rsidR="00F72344" w:rsidRPr="001F6AE9">
        <w:rPr>
          <w:rFonts w:ascii="Tahoma" w:hAnsi="Tahoma" w:cs="Tahoma"/>
          <w:bCs/>
          <w:sz w:val="18"/>
          <w:szCs w:val="18"/>
        </w:rPr>
        <w:t xml:space="preserve">  </w:t>
      </w:r>
      <w:proofErr w:type="gramEnd"/>
      <w:r w:rsidR="00F72344" w:rsidRPr="001F6AE9">
        <w:rPr>
          <w:rFonts w:ascii="Tahoma" w:hAnsi="Tahoma" w:cs="Tahoma"/>
          <w:bCs/>
          <w:sz w:val="18"/>
          <w:szCs w:val="18"/>
        </w:rPr>
        <w:t xml:space="preserve"> </w:t>
      </w:r>
      <w:proofErr w:type="gramStart"/>
      <w:r w:rsidR="00F72344" w:rsidRPr="001F6AE9">
        <w:rPr>
          <w:rFonts w:ascii="Tahoma" w:hAnsi="Tahoma" w:cs="Tahoma"/>
          <w:bCs/>
          <w:sz w:val="18"/>
          <w:szCs w:val="18"/>
        </w:rPr>
        <w:t xml:space="preserve">  </w:t>
      </w:r>
      <w:r w:rsidRPr="001F6AE9">
        <w:rPr>
          <w:rFonts w:ascii="Tahoma" w:hAnsi="Tahoma" w:cs="Tahoma"/>
          <w:bCs/>
          <w:sz w:val="18"/>
          <w:szCs w:val="18"/>
        </w:rPr>
        <w:t>»</w:t>
      </w:r>
      <w:proofErr w:type="gramEnd"/>
      <w:r w:rsidRPr="001F6AE9">
        <w:rPr>
          <w:rFonts w:ascii="Tahoma" w:hAnsi="Tahoma" w:cs="Tahoma"/>
          <w:bCs/>
          <w:sz w:val="18"/>
          <w:szCs w:val="18"/>
        </w:rPr>
        <w:t xml:space="preserve"> апреля 2026 г. </w:t>
      </w:r>
    </w:p>
    <w:p w14:paraId="27EE24E8" w14:textId="77777777" w:rsidR="00EE6AD1" w:rsidRPr="001F6AE9" w:rsidRDefault="00EE6AD1" w:rsidP="009A1AB4">
      <w:pPr>
        <w:spacing w:after="0" w:line="240" w:lineRule="auto"/>
        <w:ind w:left="4248" w:firstLine="708"/>
        <w:jc w:val="both"/>
        <w:rPr>
          <w:rFonts w:ascii="Tahoma" w:hAnsi="Tahoma" w:cs="Tahoma"/>
          <w:b/>
          <w:sz w:val="18"/>
          <w:szCs w:val="18"/>
        </w:rPr>
      </w:pPr>
    </w:p>
    <w:p w14:paraId="4B87F6D1" w14:textId="78928466" w:rsidR="00082BA6" w:rsidRPr="001F6AE9" w:rsidRDefault="00082BA6" w:rsidP="009A1AB4">
      <w:pPr>
        <w:spacing w:after="0" w:line="240" w:lineRule="auto"/>
        <w:ind w:left="4248" w:firstLine="708"/>
        <w:jc w:val="both"/>
        <w:rPr>
          <w:rFonts w:ascii="Tahoma" w:hAnsi="Tahoma" w:cs="Tahoma"/>
          <w:b/>
          <w:sz w:val="18"/>
          <w:szCs w:val="18"/>
        </w:rPr>
      </w:pPr>
      <w:r w:rsidRPr="001F6AE9">
        <w:rPr>
          <w:rFonts w:ascii="Tahoma" w:hAnsi="Tahoma" w:cs="Tahoma"/>
          <w:b/>
          <w:sz w:val="18"/>
          <w:szCs w:val="18"/>
        </w:rPr>
        <w:t>П</w:t>
      </w:r>
      <w:r w:rsidR="00BA6A8D" w:rsidRPr="001F6AE9">
        <w:rPr>
          <w:rFonts w:ascii="Tahoma" w:hAnsi="Tahoma" w:cs="Tahoma"/>
          <w:b/>
          <w:sz w:val="18"/>
          <w:szCs w:val="18"/>
        </w:rPr>
        <w:t>редложения</w:t>
      </w:r>
      <w:r w:rsidRPr="001F6AE9">
        <w:rPr>
          <w:rFonts w:ascii="Tahoma" w:hAnsi="Tahoma" w:cs="Tahoma"/>
          <w:b/>
          <w:sz w:val="18"/>
          <w:szCs w:val="18"/>
        </w:rPr>
        <w:t xml:space="preserve"> </w:t>
      </w:r>
      <w:r w:rsidR="00274A29" w:rsidRPr="001F6AE9">
        <w:rPr>
          <w:rFonts w:ascii="Tahoma" w:hAnsi="Tahoma" w:cs="Tahoma"/>
          <w:b/>
          <w:sz w:val="18"/>
          <w:szCs w:val="18"/>
        </w:rPr>
        <w:t xml:space="preserve">АЕБ </w:t>
      </w:r>
      <w:r w:rsidRPr="001F6AE9">
        <w:rPr>
          <w:rFonts w:ascii="Tahoma" w:hAnsi="Tahoma" w:cs="Tahoma"/>
          <w:b/>
          <w:sz w:val="18"/>
          <w:szCs w:val="18"/>
        </w:rPr>
        <w:t>о внесении изменений</w:t>
      </w:r>
    </w:p>
    <w:p w14:paraId="699A192F" w14:textId="2B3DE95D" w:rsidR="00BA6A8D" w:rsidRPr="001F6AE9" w:rsidRDefault="00082BA6" w:rsidP="009A1AB4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F6AE9">
        <w:rPr>
          <w:rFonts w:ascii="Tahoma" w:hAnsi="Tahoma" w:cs="Tahoma"/>
          <w:b/>
          <w:sz w:val="18"/>
          <w:szCs w:val="18"/>
        </w:rPr>
        <w:t>в</w:t>
      </w:r>
      <w:r w:rsidR="00BA6A8D" w:rsidRPr="001F6AE9">
        <w:rPr>
          <w:rFonts w:ascii="Tahoma" w:hAnsi="Tahoma" w:cs="Tahoma"/>
          <w:b/>
          <w:sz w:val="18"/>
          <w:szCs w:val="18"/>
        </w:rPr>
        <w:t xml:space="preserve"> </w:t>
      </w:r>
      <w:r w:rsidR="009A1AB4" w:rsidRPr="001F6AE9">
        <w:rPr>
          <w:rFonts w:ascii="Tahoma" w:hAnsi="Tahoma" w:cs="Tahoma"/>
          <w:b/>
          <w:sz w:val="18"/>
          <w:szCs w:val="18"/>
        </w:rPr>
        <w:t>Проект изменения № 1 в Технический регламент Евразийского экономического союза «О требованиях к энергетической эффективности энергопотребляющих устройств» (ТР ЕАЭС 048/2019) в части редакционных правок по результатам практики применения, уточнения требований к отдельным видам продукции и классам энергетической эффективности</w:t>
      </w:r>
    </w:p>
    <w:p w14:paraId="2E6C9113" w14:textId="77777777" w:rsidR="00EB0020" w:rsidRPr="001F6AE9" w:rsidRDefault="00EB0020" w:rsidP="009A1AB4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57C50D65" w14:textId="77777777" w:rsidR="00BA6A8D" w:rsidRPr="001F6AE9" w:rsidRDefault="00BA6A8D" w:rsidP="00BA6A8D">
      <w:pPr>
        <w:spacing w:after="80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a3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0"/>
        <w:gridCol w:w="4923"/>
        <w:gridCol w:w="4716"/>
        <w:gridCol w:w="5245"/>
      </w:tblGrid>
      <w:tr w:rsidR="00672587" w:rsidRPr="001F6AE9" w14:paraId="5DE0B4F1" w14:textId="77777777" w:rsidTr="00BC4F9B">
        <w:trPr>
          <w:trHeight w:val="925"/>
        </w:trPr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D9FC185" w14:textId="32CE8DC7" w:rsidR="00672587" w:rsidRPr="001F6AE9" w:rsidRDefault="00672587" w:rsidP="00E36C69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№ </w:t>
            </w:r>
            <w:r w:rsidR="004312AF" w:rsidRPr="001F6AE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пункта</w:t>
            </w:r>
          </w:p>
        </w:tc>
        <w:tc>
          <w:tcPr>
            <w:tcW w:w="4923" w:type="dxa"/>
            <w:shd w:val="clear" w:color="auto" w:fill="BFBFBF" w:themeFill="background1" w:themeFillShade="BF"/>
            <w:vAlign w:val="center"/>
          </w:tcPr>
          <w:p w14:paraId="25B9AB2A" w14:textId="77777777" w:rsidR="00672587" w:rsidRPr="001F6AE9" w:rsidRDefault="00672587" w:rsidP="00E36C69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Текущая редакция</w:t>
            </w:r>
          </w:p>
        </w:tc>
        <w:tc>
          <w:tcPr>
            <w:tcW w:w="4716" w:type="dxa"/>
            <w:shd w:val="clear" w:color="auto" w:fill="BFBFBF" w:themeFill="background1" w:themeFillShade="BF"/>
            <w:vAlign w:val="center"/>
          </w:tcPr>
          <w:p w14:paraId="5EE827B3" w14:textId="323468A9" w:rsidR="00672587" w:rsidRPr="001F6AE9" w:rsidRDefault="00672587" w:rsidP="00E36C69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Предлагаемая редакция (изменения выделены)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0B47D5C6" w14:textId="77777777" w:rsidR="00672587" w:rsidRPr="001F6AE9" w:rsidRDefault="00672587" w:rsidP="00E36C69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hAnsi="Tahoma" w:cs="Tahoma"/>
                <w:b/>
                <w:sz w:val="18"/>
                <w:szCs w:val="18"/>
              </w:rPr>
              <w:t>Обоснование</w:t>
            </w:r>
          </w:p>
        </w:tc>
      </w:tr>
      <w:tr w:rsidR="0000444E" w:rsidRPr="001F6AE9" w14:paraId="6DB66BAB" w14:textId="77777777" w:rsidTr="00EA673D">
        <w:trPr>
          <w:trHeight w:val="925"/>
        </w:trPr>
        <w:tc>
          <w:tcPr>
            <w:tcW w:w="880" w:type="dxa"/>
            <w:shd w:val="clear" w:color="auto" w:fill="FFFFFF" w:themeFill="background1"/>
            <w:vAlign w:val="center"/>
          </w:tcPr>
          <w:p w14:paraId="229465D4" w14:textId="5E705CDD" w:rsidR="0000444E" w:rsidRPr="001F6AE9" w:rsidRDefault="0000444E" w:rsidP="00E36C69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2</w:t>
            </w:r>
            <w:r w:rsidR="002A0F33" w:rsidRPr="001F6AE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23" w:type="dxa"/>
            <w:shd w:val="clear" w:color="auto" w:fill="FFFFFF" w:themeFill="background1"/>
          </w:tcPr>
          <w:p w14:paraId="5804EC49" w14:textId="77777777" w:rsidR="0000444E" w:rsidRPr="001F6AE9" w:rsidRDefault="0000444E" w:rsidP="001F47B5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>III. Требования к энергетической эффективности</w:t>
            </w:r>
          </w:p>
          <w:p w14:paraId="4FE987DB" w14:textId="77777777" w:rsidR="0000444E" w:rsidRPr="001F6AE9" w:rsidRDefault="0000444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>1. Требование к энергетической эффективности</w:t>
            </w:r>
          </w:p>
          <w:p w14:paraId="4D0DC682" w14:textId="77777777" w:rsidR="0000444E" w:rsidRPr="001F6AE9" w:rsidRDefault="0000444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>С 1 сентября 2025 года индекс энергетической эффективности (EEI) холодильных приборов не должен превышать значений, указанных в таблице 1.</w:t>
            </w:r>
          </w:p>
          <w:p w14:paraId="4B900BA6" w14:textId="570C2F75" w:rsidR="0000444E" w:rsidRPr="001F6AE9" w:rsidRDefault="0000444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 xml:space="preserve">Таблица 1 Максимальный   индекс   энергетической   </w:t>
            </w:r>
            <w:r w:rsidR="00122230" w:rsidRPr="001F6AE9">
              <w:rPr>
                <w:rFonts w:ascii="Tahoma" w:hAnsi="Tahoma" w:cs="Tahoma"/>
                <w:sz w:val="18"/>
                <w:szCs w:val="18"/>
              </w:rPr>
              <w:t>эффективности (EEI) для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 холодильных приборов</w:t>
            </w:r>
          </w:p>
          <w:p w14:paraId="3CB59741" w14:textId="77777777" w:rsidR="0000444E" w:rsidRPr="001F6AE9" w:rsidRDefault="0000444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32D9389" wp14:editId="3BE09CFB">
                  <wp:extent cx="3034454" cy="118967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372" cy="119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1329B8" w14:textId="1464F45C" w:rsidR="0000444E" w:rsidRPr="001F6AE9" w:rsidRDefault="0000444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>С 1 сентября 2027 года индекс энергетической эффективности (EEI) холодильных приборов не должен превышать значений, указанных в таблице 2.</w:t>
            </w:r>
          </w:p>
        </w:tc>
        <w:tc>
          <w:tcPr>
            <w:tcW w:w="4716" w:type="dxa"/>
            <w:shd w:val="clear" w:color="auto" w:fill="FFFFFF" w:themeFill="background1"/>
          </w:tcPr>
          <w:p w14:paraId="008EAE88" w14:textId="5AB6D6AA" w:rsidR="00F47DDE" w:rsidRPr="001F6AE9" w:rsidRDefault="00F47DDE" w:rsidP="00DB76EF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>III. Требования к энергетической эффективности</w:t>
            </w:r>
          </w:p>
          <w:p w14:paraId="7CCA44A9" w14:textId="77777777" w:rsidR="00F47DDE" w:rsidRPr="001F6AE9" w:rsidRDefault="00F47DD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>1. Требование к энергетической эффективности</w:t>
            </w:r>
          </w:p>
          <w:p w14:paraId="76B8FC81" w14:textId="3F9C6BC6" w:rsidR="00F47DDE" w:rsidRPr="001F6AE9" w:rsidRDefault="00F47DD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trike/>
                <w:sz w:val="18"/>
                <w:szCs w:val="18"/>
              </w:rPr>
              <w:t>С 1 сентября 2025 года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6AE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с 1 сентября 2027 </w:t>
            </w:r>
            <w:r w:rsidR="005B6539" w:rsidRPr="001F6AE9">
              <w:rPr>
                <w:rFonts w:ascii="Tahoma" w:hAnsi="Tahoma" w:cs="Tahoma"/>
                <w:b/>
                <w:bCs/>
                <w:sz w:val="18"/>
                <w:szCs w:val="18"/>
              </w:rPr>
              <w:t>года индекс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 энергетической эффективности (EEI) холодильных приборов не должен превышать значений, указанных в таблице 1.</w:t>
            </w:r>
          </w:p>
          <w:p w14:paraId="10E6CD38" w14:textId="30D373AC" w:rsidR="00F47DDE" w:rsidRPr="001F6AE9" w:rsidRDefault="00F47DD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 xml:space="preserve">Таблица 1 Максимальный   индекс   энергетической   </w:t>
            </w:r>
            <w:r w:rsidR="00122230" w:rsidRPr="001F6AE9">
              <w:rPr>
                <w:rFonts w:ascii="Tahoma" w:hAnsi="Tahoma" w:cs="Tahoma"/>
                <w:sz w:val="18"/>
                <w:szCs w:val="18"/>
              </w:rPr>
              <w:t>эффективности (EEI) для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 холодильных приборов</w:t>
            </w:r>
          </w:p>
          <w:p w14:paraId="015B8882" w14:textId="77777777" w:rsidR="00F47DDE" w:rsidRPr="001F6AE9" w:rsidRDefault="00F47DDE" w:rsidP="00EA673D">
            <w:pPr>
              <w:autoSpaceDE w:val="0"/>
              <w:autoSpaceDN w:val="0"/>
              <w:adjustRightInd w:val="0"/>
              <w:spacing w:after="0"/>
              <w:ind w:left="-111" w:firstLine="111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6CA61E5" wp14:editId="1F870D5B">
                  <wp:extent cx="3048000" cy="1194984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125" cy="1201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DADD4" w14:textId="77777777" w:rsidR="0000444E" w:rsidRPr="001F6AE9" w:rsidRDefault="00F47DDE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С 1 сентября 2027 </w:t>
            </w:r>
            <w:r w:rsidRPr="001F6AE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с 1 сентября </w:t>
            </w:r>
            <w:r w:rsidR="005B6539" w:rsidRPr="001F6AE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2029 </w:t>
            </w:r>
            <w:r w:rsidR="005B6539" w:rsidRPr="001F6AE9">
              <w:rPr>
                <w:rFonts w:ascii="Tahoma" w:hAnsi="Tahoma" w:cs="Tahoma"/>
                <w:sz w:val="18"/>
                <w:szCs w:val="18"/>
              </w:rPr>
              <w:t>года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 индекс энергетической эффективности (EEI) холодильных приборов не должен превышать значений, указанных в таблице 2.</w:t>
            </w:r>
          </w:p>
          <w:p w14:paraId="2434380F" w14:textId="212A1ED7" w:rsidR="00EB0020" w:rsidRPr="001F6AE9" w:rsidRDefault="00EB0020" w:rsidP="00EA67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0257647B" w14:textId="41E7CFD6" w:rsidR="0000444E" w:rsidRPr="001F6AE9" w:rsidRDefault="00F03316" w:rsidP="00EA673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Здесь и далее </w:t>
            </w:r>
            <w:r w:rsidR="00C61812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по тексту документа 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необходимо поправить д</w:t>
            </w:r>
            <w:r w:rsidR="0000444E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аты введения ограничений</w:t>
            </w:r>
            <w:r w:rsidR="00F47DDE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, установленные в регламенте,</w:t>
            </w:r>
            <w:r w:rsidR="001B208F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</w:t>
            </w:r>
            <w:r w:rsidR="001F6AE9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которые должны</w:t>
            </w:r>
            <w:r w:rsidR="0000444E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быть выравнены с датой вступления в силу </w:t>
            </w:r>
            <w:r w:rsidR="001B208F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изменений в </w:t>
            </w:r>
            <w:r w:rsidR="001F6AE9" w:rsidRPr="001F6AE9">
              <w:rPr>
                <w:rFonts w:ascii="Tahoma" w:hAnsi="Tahoma" w:cs="Tahoma"/>
                <w:bCs/>
                <w:sz w:val="18"/>
                <w:szCs w:val="18"/>
              </w:rPr>
              <w:t>ТР ЕАЭС 048/2019</w:t>
            </w:r>
            <w:r w:rsidR="00A76CFB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. В </w:t>
            </w:r>
            <w:r w:rsidR="0000444E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противном случае будут проблемы, когда торговые сети откажутся принимать продукцию, которая </w:t>
            </w:r>
            <w:r w:rsidR="00F47DDE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даже в рамках переходных положений, предусмотренных регламентом, будет казаться не соответствующей действующим </w:t>
            </w:r>
            <w:r w:rsidR="001B208F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требованиям</w:t>
            </w:r>
            <w:r w:rsidR="00F47DDE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.</w:t>
            </w:r>
            <w:r w:rsidR="001B208F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А органы надзора будут накладывать штрафы на торговые сети.</w:t>
            </w:r>
          </w:p>
        </w:tc>
      </w:tr>
      <w:tr w:rsidR="00FD4235" w:rsidRPr="001F6AE9" w14:paraId="2AFDCA4B" w14:textId="77777777" w:rsidTr="00DB76EF">
        <w:trPr>
          <w:trHeight w:val="2947"/>
        </w:trPr>
        <w:tc>
          <w:tcPr>
            <w:tcW w:w="880" w:type="dxa"/>
            <w:shd w:val="clear" w:color="auto" w:fill="FFFFFF" w:themeFill="background1"/>
          </w:tcPr>
          <w:p w14:paraId="7DB7338F" w14:textId="75F7AE92" w:rsidR="00FD4235" w:rsidRPr="001F6AE9" w:rsidRDefault="00FD4235" w:rsidP="00FD4235">
            <w:pPr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отсутствует </w:t>
            </w:r>
          </w:p>
        </w:tc>
        <w:tc>
          <w:tcPr>
            <w:tcW w:w="4923" w:type="dxa"/>
            <w:shd w:val="clear" w:color="auto" w:fill="FFFFFF" w:themeFill="background1"/>
          </w:tcPr>
          <w:p w14:paraId="7841DEAC" w14:textId="39F0FACF" w:rsidR="00FD4235" w:rsidRPr="001F6AE9" w:rsidRDefault="00FD4235" w:rsidP="00FD42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716" w:type="dxa"/>
            <w:shd w:val="clear" w:color="auto" w:fill="FFFFFF" w:themeFill="background1"/>
          </w:tcPr>
          <w:p w14:paraId="3D0B12DE" w14:textId="6095B2A6" w:rsidR="008A5C1D" w:rsidRPr="001F6AE9" w:rsidRDefault="008A5C1D" w:rsidP="00DB7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 xml:space="preserve">15) </w:t>
            </w:r>
            <w:r w:rsidR="00C020F6" w:rsidRPr="001F6AE9">
              <w:rPr>
                <w:rFonts w:ascii="Tahoma" w:hAnsi="Tahoma" w:cs="Tahoma"/>
                <w:sz w:val="18"/>
                <w:szCs w:val="18"/>
              </w:rPr>
              <w:t>Изложить подпункт е)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 п.1 Приложени</w:t>
            </w:r>
            <w:r w:rsidR="00C020F6" w:rsidRPr="001F6AE9">
              <w:rPr>
                <w:rFonts w:ascii="Tahoma" w:hAnsi="Tahoma" w:cs="Tahoma"/>
                <w:sz w:val="18"/>
                <w:szCs w:val="18"/>
              </w:rPr>
              <w:t>я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 12. </w:t>
            </w:r>
            <w:r w:rsidR="001F6AE9" w:rsidRPr="001F6AE9">
              <w:rPr>
                <w:rFonts w:ascii="Tahoma" w:hAnsi="Tahoma" w:cs="Tahoma"/>
                <w:sz w:val="18"/>
                <w:szCs w:val="18"/>
              </w:rPr>
              <w:t>ТР ЕАЭС 048/2019</w:t>
            </w:r>
            <w:r w:rsidR="001F6AE9" w:rsidRPr="001F6AE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6AE9">
              <w:rPr>
                <w:rFonts w:ascii="Tahoma" w:hAnsi="Tahoma" w:cs="Tahoma"/>
                <w:sz w:val="18"/>
                <w:szCs w:val="18"/>
              </w:rPr>
              <w:t>«Требования к энергетической эффективности вентиляторов с электроприводом»</w:t>
            </w:r>
          </w:p>
          <w:p w14:paraId="5C289464" w14:textId="0571E23A" w:rsidR="008A5C1D" w:rsidRPr="001F6AE9" w:rsidRDefault="008A5C1D" w:rsidP="00DB7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020F6" w:rsidRPr="001F6AE9">
              <w:rPr>
                <w:rFonts w:ascii="Tahoma" w:hAnsi="Tahoma" w:cs="Tahoma"/>
                <w:sz w:val="18"/>
                <w:szCs w:val="18"/>
              </w:rPr>
              <w:t>в следующей редакции:</w:t>
            </w:r>
          </w:p>
          <w:p w14:paraId="7F33D42A" w14:textId="05FA5F95" w:rsidR="00C020F6" w:rsidRPr="001F6AE9" w:rsidRDefault="00C020F6" w:rsidP="00DB76EF">
            <w:pPr>
              <w:pStyle w:val="a9"/>
              <w:spacing w:before="0" w:beforeAutospacing="0" w:after="0" w:afterAutospacing="0"/>
              <w:ind w:firstLine="54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1F6AE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1. Настоящие Требования распространяются на выпускаемые в обращение на таможенной территории Евразийского экономического союза (далее - Союз) вентиляторы с электроприводом, автономные и встроенные в другое оборудование, мощностью от 125 Вт (включительно) до 500 кВт (включительно) и напряжением питания до 1000 В (включительно) переменного и до 1500 В (включительно) постоянного тока, за исключением комнатных вентиляторов и вентиляторов, предназначенных для:…</w:t>
            </w:r>
          </w:p>
          <w:p w14:paraId="5557033F" w14:textId="77777777" w:rsidR="00C020F6" w:rsidRPr="001F6AE9" w:rsidRDefault="00C020F6" w:rsidP="00DB76EF">
            <w:pPr>
              <w:pStyle w:val="a9"/>
              <w:spacing w:before="0" w:beforeAutospacing="0" w:after="0" w:afterAutospacing="0"/>
              <w:ind w:firstLine="54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1F6AE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е) встраивания:</w:t>
            </w:r>
          </w:p>
          <w:p w14:paraId="06246879" w14:textId="77777777" w:rsidR="00C020F6" w:rsidRPr="001F6AE9" w:rsidRDefault="00C020F6" w:rsidP="00DB76EF">
            <w:pPr>
              <w:pStyle w:val="a9"/>
              <w:spacing w:before="168" w:beforeAutospacing="0" w:after="0" w:afterAutospacing="0"/>
              <w:ind w:firstLine="54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1F6AE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в оборудование с одним электродвигателем мощностью не более 3 кВт, приводящим в движение вентилятор и служащим для выполнения других функций, которые являются основными для данного оборудования; </w:t>
            </w:r>
          </w:p>
          <w:p w14:paraId="3DC8A29A" w14:textId="77777777" w:rsidR="00C020F6" w:rsidRPr="001F6AE9" w:rsidRDefault="00C020F6" w:rsidP="00DB76EF">
            <w:pPr>
              <w:pStyle w:val="a9"/>
              <w:spacing w:before="168" w:beforeAutospacing="0" w:after="0" w:afterAutospacing="0"/>
              <w:ind w:firstLine="54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1F6AE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в сушилки для белья и стирально-сушильные машины с номинальной потребляемой мощностью не более 3 кВт; </w:t>
            </w:r>
          </w:p>
          <w:p w14:paraId="6945E6D6" w14:textId="77777777" w:rsidR="00670CCC" w:rsidRPr="001F6AE9" w:rsidRDefault="00C020F6" w:rsidP="00670CCC">
            <w:pPr>
              <w:pStyle w:val="a9"/>
              <w:spacing w:before="168" w:beforeAutospacing="0" w:after="0" w:afterAutospacing="0"/>
              <w:ind w:firstLine="54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1F6AE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в кухонные вытяжки и воздухоочистители с номинальной потребляемой мощностью менее 280 Вт. </w:t>
            </w:r>
          </w:p>
          <w:p w14:paraId="49F2EB1E" w14:textId="79486489" w:rsidR="00C020F6" w:rsidRPr="001F6AE9" w:rsidRDefault="00C020F6" w:rsidP="00670CCC">
            <w:pPr>
              <w:pStyle w:val="a9"/>
              <w:spacing w:before="168" w:beforeAutospacing="0" w:after="0" w:afterAutospacing="0"/>
              <w:ind w:firstLine="54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1F6AE9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в кондиционеры</w:t>
            </w:r>
            <w:r w:rsidR="00AC2650" w:rsidRPr="001F6AE9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 xml:space="preserve"> и устройства для обогрева воздуха</w:t>
            </w:r>
          </w:p>
          <w:p w14:paraId="120851B7" w14:textId="1DDFAA80" w:rsidR="00FD4235" w:rsidRPr="001F6AE9" w:rsidRDefault="00FD4235" w:rsidP="00DB7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64339C3D" w14:textId="16727C1C" w:rsidR="00FD4235" w:rsidRPr="001F6AE9" w:rsidRDefault="00AC2650" w:rsidP="00DB76EF">
            <w:pPr>
              <w:spacing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В регулировании есть исключения для частей (вентиляторов), встраиваемых в стиральные машины и кухонные вытяжки, но нет исключения для кондиционеров и устройств для обогрева воздуха.</w:t>
            </w:r>
          </w:p>
        </w:tc>
      </w:tr>
      <w:tr w:rsidR="00672587" w:rsidRPr="001F6AE9" w14:paraId="7D4DF79A" w14:textId="77777777" w:rsidTr="00BC4F9B">
        <w:trPr>
          <w:trHeight w:val="397"/>
        </w:trPr>
        <w:tc>
          <w:tcPr>
            <w:tcW w:w="880" w:type="dxa"/>
          </w:tcPr>
          <w:p w14:paraId="31B8019F" w14:textId="13294756" w:rsidR="00672587" w:rsidRPr="001F6AE9" w:rsidRDefault="00672587" w:rsidP="006767A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отсутствует </w:t>
            </w:r>
          </w:p>
        </w:tc>
        <w:tc>
          <w:tcPr>
            <w:tcW w:w="4923" w:type="dxa"/>
          </w:tcPr>
          <w:p w14:paraId="06C590E0" w14:textId="210C843E" w:rsidR="00672587" w:rsidRPr="001F6AE9" w:rsidRDefault="00672587" w:rsidP="00FD423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716" w:type="dxa"/>
          </w:tcPr>
          <w:p w14:paraId="38F95D39" w14:textId="15AC10ED" w:rsidR="00672587" w:rsidRPr="001F6AE9" w:rsidRDefault="00672587" w:rsidP="00942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14) 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Дополнить Раздел 1. Область применения </w:t>
            </w:r>
            <w:r w:rsidR="001F6AE9" w:rsidRPr="001F6AE9">
              <w:rPr>
                <w:rFonts w:ascii="Tahoma" w:hAnsi="Tahoma" w:cs="Tahoma"/>
                <w:bCs/>
                <w:sz w:val="18"/>
                <w:szCs w:val="18"/>
              </w:rPr>
              <w:t>ТР ЕАЭС 048/2019</w:t>
            </w:r>
            <w:r w:rsidR="001F6AE9" w:rsidRPr="001F6AE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F6AE9">
              <w:rPr>
                <w:rFonts w:ascii="Tahoma" w:hAnsi="Tahoma" w:cs="Tahoma"/>
                <w:sz w:val="18"/>
                <w:szCs w:val="18"/>
              </w:rPr>
              <w:t>пунктом 5.</w:t>
            </w:r>
          </w:p>
          <w:p w14:paraId="62E311B6" w14:textId="7E7B9C50" w:rsidR="00672587" w:rsidRPr="001F6AE9" w:rsidRDefault="00672587" w:rsidP="00942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728B0D5" w14:textId="1D8B9098" w:rsidR="00672587" w:rsidRPr="001F6AE9" w:rsidRDefault="00672587" w:rsidP="00942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F6AE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5. </w:t>
            </w:r>
            <w:r w:rsidRPr="001F6AE9">
              <w:rPr>
                <w:rFonts w:ascii="Tahoma" w:hAnsi="Tahoma" w:cs="Tahoma"/>
                <w:sz w:val="18"/>
                <w:szCs w:val="18"/>
              </w:rPr>
              <w:t>технический регламент не распространяется на составные части оборудования (узлы, комплектующие и компоненты), поставляемые изготовителем этого низковольтного оборудования на договорной основе, при условии, что эти составные части не могут быть доступны потребителю (пользователю) иначе, как в качестве встроенных в оборудование, для которого они предназначены.</w:t>
            </w:r>
          </w:p>
          <w:p w14:paraId="64539EBD" w14:textId="76F4A0DA" w:rsidR="00672587" w:rsidRPr="001F6AE9" w:rsidRDefault="00672587" w:rsidP="00942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B52A2C9" w14:textId="77777777" w:rsidR="002A0F33" w:rsidRPr="001F6AE9" w:rsidRDefault="00672587" w:rsidP="0094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/>
                <w:sz w:val="18"/>
                <w:szCs w:val="18"/>
              </w:rPr>
              <w:lastRenderedPageBreak/>
              <w:t>Предлагается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:</w:t>
            </w:r>
          </w:p>
          <w:p w14:paraId="069B5AA9" w14:textId="6F59E4FA" w:rsidR="00672587" w:rsidRPr="001F6AE9" w:rsidRDefault="002A0F33" w:rsidP="0094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- </w:t>
            </w:r>
            <w:r w:rsidR="00672587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указать по аналогии с ТР ТС 020/2011 и ТР ТС 004/2011, что регламент не распространяется на запасные части и комплектующие.</w:t>
            </w:r>
          </w:p>
          <w:p w14:paraId="0173A29C" w14:textId="77777777" w:rsidR="00672587" w:rsidRPr="001F6AE9" w:rsidRDefault="00672587" w:rsidP="0094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2287E91F" w14:textId="3514FE7C" w:rsidR="00672587" w:rsidRPr="001F6AE9" w:rsidRDefault="00672587" w:rsidP="0094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/>
                <w:sz w:val="18"/>
                <w:szCs w:val="18"/>
              </w:rPr>
              <w:t>Пояснения:</w:t>
            </w:r>
          </w:p>
          <w:p w14:paraId="694BBC75" w14:textId="1561917F" w:rsidR="00672587" w:rsidRPr="001F6AE9" w:rsidRDefault="00672587" w:rsidP="002A0F33">
            <w:pPr>
              <w:pStyle w:val="Textoftheletter"/>
              <w:spacing w:after="0"/>
              <w:ind w:firstLine="0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В </w:t>
            </w:r>
            <w:r w:rsidR="001F6AE9" w:rsidRPr="001F6AE9">
              <w:rPr>
                <w:bCs/>
                <w:sz w:val="18"/>
                <w:szCs w:val="18"/>
              </w:rPr>
              <w:t>ТР ЕАЭС 048/2019</w:t>
            </w:r>
            <w:r w:rsidR="001F6AE9" w:rsidRPr="001F6AE9">
              <w:rPr>
                <w:b/>
                <w:sz w:val="18"/>
                <w:szCs w:val="18"/>
              </w:rPr>
              <w:t xml:space="preserve"> </w:t>
            </w:r>
            <w:r w:rsidRPr="001F6AE9">
              <w:rPr>
                <w:sz w:val="18"/>
                <w:szCs w:val="18"/>
              </w:rPr>
              <w:t xml:space="preserve">содержатся объекты, которые часто поставляют в качестве запасных частей или комплектующих, проводить оценку их соответствия требованиям регламента отдельно от изделия, в которое они встраиваются нецелесообразно, так как оценке подлежит в итоге энергоэффективность готового изделия </w:t>
            </w:r>
            <w:r w:rsidRPr="001F6AE9">
              <w:rPr>
                <w:sz w:val="18"/>
                <w:szCs w:val="18"/>
              </w:rPr>
              <w:lastRenderedPageBreak/>
              <w:t>(например, стиральной машины, а не отдельно ее мотора, помпы, лампочек или вентилятора, встроенного в кондиционер или духовой шкаф).</w:t>
            </w:r>
          </w:p>
          <w:p w14:paraId="28A46EDA" w14:textId="465CFF51" w:rsidR="00672587" w:rsidRPr="001F6AE9" w:rsidRDefault="00672587" w:rsidP="00942139">
            <w:pPr>
              <w:pStyle w:val="Textoftheletter"/>
              <w:spacing w:after="0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>Отдельная сертификация (декларирование) по другим техническим регламентам для запасных частей и комплектующих не требуется. Это предусмотрено в следующих технических регламентах:</w:t>
            </w:r>
          </w:p>
          <w:p w14:paraId="473D5C9E" w14:textId="77777777" w:rsidR="00672587" w:rsidRPr="001F6AE9" w:rsidRDefault="00672587" w:rsidP="00942139">
            <w:pPr>
              <w:pStyle w:val="Textoftheletter"/>
              <w:spacing w:after="0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− Технического регламента Таможенного Союза ТР ТС 020/2011 «Электромагнитная совместимость технических средств», утвержденного Решением Комиссии Таможенного союза от 9 декабря 2011 г. №879 (далее – ТР ТС 020/2011); </w:t>
            </w:r>
          </w:p>
          <w:p w14:paraId="1816E574" w14:textId="77777777" w:rsidR="00672587" w:rsidRPr="001F6AE9" w:rsidRDefault="00672587" w:rsidP="00942139">
            <w:pPr>
              <w:pStyle w:val="Textoftheletter"/>
              <w:spacing w:after="0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− 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от 16 августа 2011 г. №768 (далее – ТР ТС 004/2011). </w:t>
            </w:r>
          </w:p>
          <w:p w14:paraId="416D54A1" w14:textId="77777777" w:rsidR="00672587" w:rsidRPr="001F6AE9" w:rsidRDefault="00672587" w:rsidP="00942139">
            <w:pPr>
              <w:pStyle w:val="Textoftheletter"/>
              <w:spacing w:after="0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В п.2 ст. 1 ТР ТС 020/2011 указано, что технический регламент не распространяется на технические средства «используемые изготовителями других технических средств в качестве их составных частей и не предназначенные для самостоятельного применения конечным потребителем (пользователем)». </w:t>
            </w:r>
          </w:p>
          <w:p w14:paraId="76FDAFCB" w14:textId="7EFB83A9" w:rsidR="00672587" w:rsidRPr="001F6AE9" w:rsidRDefault="00672587" w:rsidP="00942139">
            <w:pPr>
              <w:pStyle w:val="Textoftheletter"/>
              <w:spacing w:after="0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В п.2 ст. </w:t>
            </w:r>
            <w:proofErr w:type="spellStart"/>
            <w:r w:rsidRPr="001F6AE9">
              <w:rPr>
                <w:sz w:val="18"/>
                <w:szCs w:val="18"/>
              </w:rPr>
              <w:t>пп</w:t>
            </w:r>
            <w:proofErr w:type="spellEnd"/>
            <w:r w:rsidRPr="001F6AE9">
              <w:rPr>
                <w:sz w:val="18"/>
                <w:szCs w:val="18"/>
              </w:rPr>
              <w:t xml:space="preserve">. г) 1 ТР ТС 004/2011 указано, что технический регламент не распространяется на составные части низковольтного оборудования (узлы, комплектующие и компоненты), поставляемые изготовителем этого низковольтного оборудования на договорной основе, при условии, что эти составные части не могут быть доступны потребителю (пользователю) иначе, как в качестве встроенных в низковольтное оборудование, для которого они предназначены. </w:t>
            </w:r>
          </w:p>
        </w:tc>
      </w:tr>
      <w:tr w:rsidR="00672587" w:rsidRPr="001F6AE9" w14:paraId="6E27C96C" w14:textId="77777777" w:rsidTr="00BC4F9B">
        <w:trPr>
          <w:trHeight w:val="397"/>
        </w:trPr>
        <w:tc>
          <w:tcPr>
            <w:tcW w:w="880" w:type="dxa"/>
          </w:tcPr>
          <w:p w14:paraId="5E0DE9FC" w14:textId="6A854300" w:rsidR="00672587" w:rsidRPr="001F6AE9" w:rsidRDefault="00672587" w:rsidP="00F4644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</w:t>
            </w:r>
            <w:r w:rsidR="002A0F33" w:rsidRPr="001F6A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23" w:type="dxa"/>
          </w:tcPr>
          <w:p w14:paraId="77F69C84" w14:textId="11C920B4" w:rsidR="00672587" w:rsidRPr="001F6AE9" w:rsidRDefault="00672587" w:rsidP="00F464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>п) двигатели, выпускаемые в обращение на таможенной территории Союза в течение 7 лет с момента вступления в силу настоящего технического регламента для замены идентичных двигателей, интегрированных в изделия, выпущенные в обращение на территории Союза до вступления технического регламента  в  силу,  при  условии,  что  в  эксплуатационных  документах  на двигатели  идентифицировано  оборудование,  для  работы  с  которым  они предназначены.</w:t>
            </w:r>
          </w:p>
        </w:tc>
        <w:tc>
          <w:tcPr>
            <w:tcW w:w="4716" w:type="dxa"/>
          </w:tcPr>
          <w:p w14:paraId="505E96A9" w14:textId="1A101D7D" w:rsidR="00672587" w:rsidRPr="001F6AE9" w:rsidRDefault="00672587" w:rsidP="00942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 xml:space="preserve">п) двигатели, выпускаемые в обращение на таможенной территории Союза, </w:t>
            </w:r>
            <w:r w:rsidRPr="001F6AE9">
              <w:rPr>
                <w:rFonts w:ascii="Tahoma" w:hAnsi="Tahoma" w:cs="Tahoma"/>
                <w:b/>
                <w:bCs/>
                <w:sz w:val="18"/>
                <w:szCs w:val="18"/>
              </w:rPr>
              <w:t>в качестве</w:t>
            </w:r>
            <w:r w:rsidRPr="001F6AE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6AE9">
              <w:rPr>
                <w:rFonts w:ascii="Tahoma" w:hAnsi="Tahoma" w:cs="Tahoma"/>
                <w:b/>
                <w:bCs/>
                <w:sz w:val="18"/>
                <w:szCs w:val="18"/>
              </w:rPr>
              <w:t>составных частей оборудования (узлы, комплектующие и компоненты), поставляемые изготовителем этого на договорной основе, при условии, что эти составные части не могут быть доступны потребителю (пользователю) иначе, как в качестве встроенных в оборудование, для которого они предназначены</w:t>
            </w:r>
          </w:p>
          <w:p w14:paraId="4ADF7A39" w14:textId="343C9803" w:rsidR="00672587" w:rsidRPr="001F6AE9" w:rsidRDefault="00672587" w:rsidP="00942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в течение 7 лет с момента вступления в силу настоящего технического регламента для замены идентичных двигателей, интегрированных в изделия, выпущенные в обращение на территории Союза до вступления технического </w:t>
            </w:r>
            <w:r w:rsidR="005B6539"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регламента </w:t>
            </w:r>
            <w:r w:rsidR="006D2CD8" w:rsidRPr="001F6AE9">
              <w:rPr>
                <w:rFonts w:ascii="Tahoma" w:hAnsi="Tahoma" w:cs="Tahoma"/>
                <w:strike/>
                <w:sz w:val="18"/>
                <w:szCs w:val="18"/>
              </w:rPr>
              <w:t>в силу</w:t>
            </w:r>
            <w:r w:rsidR="006D2CD8" w:rsidRPr="001F6AE9">
              <w:rPr>
                <w:rFonts w:ascii="Tahoma" w:hAnsi="Tahoma" w:cs="Tahoma"/>
                <w:sz w:val="18"/>
                <w:szCs w:val="18"/>
              </w:rPr>
              <w:t>, при</w:t>
            </w:r>
            <w:r w:rsidR="006D2CD8"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 условии</w:t>
            </w:r>
            <w:r w:rsidR="00942139" w:rsidRPr="001F6AE9">
              <w:rPr>
                <w:rFonts w:ascii="Tahoma" w:hAnsi="Tahoma" w:cs="Tahoma"/>
                <w:strike/>
                <w:sz w:val="18"/>
                <w:szCs w:val="18"/>
              </w:rPr>
              <w:t>, что</w:t>
            </w:r>
            <w:r w:rsidR="006D2CD8"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 в эксплуатационных документах </w:t>
            </w:r>
            <w:r w:rsidRPr="001F6AE9">
              <w:rPr>
                <w:rFonts w:ascii="Tahoma" w:hAnsi="Tahoma" w:cs="Tahoma"/>
                <w:strike/>
                <w:sz w:val="18"/>
                <w:szCs w:val="18"/>
              </w:rPr>
              <w:t>на</w:t>
            </w:r>
            <w:r w:rsidR="006D2CD8"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 </w:t>
            </w:r>
            <w:r w:rsidR="006D2CD8" w:rsidRPr="001F6AE9">
              <w:rPr>
                <w:rFonts w:ascii="Tahoma" w:hAnsi="Tahoma" w:cs="Tahoma"/>
                <w:strike/>
                <w:sz w:val="18"/>
                <w:szCs w:val="18"/>
              </w:rPr>
              <w:lastRenderedPageBreak/>
              <w:t>двигатели идентифицировано оборудование</w:t>
            </w:r>
            <w:r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, </w:t>
            </w:r>
            <w:r w:rsidR="006D2CD8"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для работы </w:t>
            </w:r>
            <w:r w:rsidR="002A0F33" w:rsidRPr="001F6AE9">
              <w:rPr>
                <w:rFonts w:ascii="Tahoma" w:hAnsi="Tahoma" w:cs="Tahoma"/>
                <w:strike/>
                <w:sz w:val="18"/>
                <w:szCs w:val="18"/>
              </w:rPr>
              <w:t>с которым</w:t>
            </w:r>
            <w:r w:rsidR="006D2CD8"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 они</w:t>
            </w:r>
            <w:r w:rsidRPr="001F6AE9">
              <w:rPr>
                <w:rFonts w:ascii="Tahoma" w:hAnsi="Tahoma" w:cs="Tahoma"/>
                <w:strike/>
                <w:sz w:val="18"/>
                <w:szCs w:val="18"/>
              </w:rPr>
              <w:t xml:space="preserve"> предназначены.</w:t>
            </w:r>
          </w:p>
        </w:tc>
        <w:tc>
          <w:tcPr>
            <w:tcW w:w="5245" w:type="dxa"/>
          </w:tcPr>
          <w:p w14:paraId="6D7C8DC4" w14:textId="727604B1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/>
                <w:sz w:val="18"/>
                <w:szCs w:val="18"/>
              </w:rPr>
              <w:lastRenderedPageBreak/>
              <w:t>Предлагается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:</w:t>
            </w:r>
          </w:p>
          <w:p w14:paraId="349EFC87" w14:textId="649A232F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- указать по аналогии с ТР ТС 020/2011 и ТР ТС 004/2011, что регламент не распространяется на запасные части и комплектующие</w:t>
            </w:r>
          </w:p>
          <w:p w14:paraId="38D34FE3" w14:textId="0FD873CB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- исключит</w:t>
            </w:r>
            <w:r w:rsidR="005B6539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ь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</w:t>
            </w:r>
            <w:r w:rsidR="005B6539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требование о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необходимости наличия эксплуатационных документов, так как их нет у запасных частей и комплектующих</w:t>
            </w:r>
          </w:p>
          <w:p w14:paraId="4C06AC7D" w14:textId="3643A17E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/>
                <w:sz w:val="18"/>
                <w:szCs w:val="18"/>
              </w:rPr>
              <w:t>Пояснения:</w:t>
            </w:r>
          </w:p>
          <w:p w14:paraId="35F4783F" w14:textId="1847945F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В целом пункт написан некорректно. Непонятно о каком выпуске в обращение двигателей в целях «замены, идентичных двигателей» идет речь. Товар по таможенным правилам не поставляется с целью «замены идентичных двигателей». Как подтверждать такой статус поставки?</w:t>
            </w:r>
          </w:p>
          <w:p w14:paraId="697A30F5" w14:textId="581AC812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Скорее всего речь идет о запасных частях и комплектующих, которые в принципе не должны 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lastRenderedPageBreak/>
              <w:t>подлежать регулированию, так как энергоэффективность не должна оцениваться в отдельности от оборудования, в котором они установлены.</w:t>
            </w:r>
          </w:p>
          <w:p w14:paraId="2C07C2C8" w14:textId="2ACF6225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Двигатели могут поставляться в 3 статусах: </w:t>
            </w:r>
          </w:p>
          <w:p w14:paraId="40C84FCB" w14:textId="5DC86026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- запасные части, предназначенные для сервисного обслуживания изделий и поставляемые с этой целью; </w:t>
            </w:r>
          </w:p>
          <w:p w14:paraId="5FA9F01E" w14:textId="7349CAC8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- комплектующие, предназначенные для промышленной сборки и поставляемые на предприятия; </w:t>
            </w:r>
          </w:p>
          <w:p w14:paraId="6C28D026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>- как готовые изделия, предназначенные для реализации.</w:t>
            </w:r>
          </w:p>
          <w:p w14:paraId="54A10BBD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В законодательстве о таможенном регулировании запасные части и комплектующие для промышленной сборки четко отделены от готовой продукции. </w:t>
            </w:r>
          </w:p>
          <w:p w14:paraId="414C250E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Это было сделано для того, чтобы отделить при таможенном оформлении объекты, требующие предоставления сертификатов (деклараций) соответствия техническим регламентам и не требующие предоставления таких документов. </w:t>
            </w:r>
          </w:p>
          <w:p w14:paraId="4797FA3C" w14:textId="5EE28E5B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>Отдельная сертификация (декларирование) по другим техническим регламентам для запасных частей и комплектующих не требуется. Это предусмотрено в следующих технических регламентах:</w:t>
            </w:r>
          </w:p>
          <w:p w14:paraId="2C67A73D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− Технического регламента Таможенного Союза ТР ТС 020/2011 «Электромагнитная совместимость технических средств», утвержденного Решением Комиссии Таможенного союза от 9 декабря 2011 г. №879 (далее – ТР ТС 020/2011); </w:t>
            </w:r>
          </w:p>
          <w:p w14:paraId="1F87A807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− 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от 16 августа 2011 г. №768 (далее – ТР ТС 004/2011). </w:t>
            </w:r>
          </w:p>
          <w:p w14:paraId="3245D85B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В п.2 ст. 1 ТР ТС 020/2011 указано, что технический регламент не распространяется на технические средства «используемые изготовителями других технических средств в качестве их составных частей и не предназначенные для самостоятельного применения конечным потребителем (пользователем)». </w:t>
            </w:r>
          </w:p>
          <w:p w14:paraId="3C89DD4C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В п.2 ст. </w:t>
            </w:r>
            <w:proofErr w:type="spellStart"/>
            <w:r w:rsidRPr="001F6AE9">
              <w:rPr>
                <w:sz w:val="18"/>
                <w:szCs w:val="18"/>
              </w:rPr>
              <w:t>пп</w:t>
            </w:r>
            <w:proofErr w:type="spellEnd"/>
            <w:r w:rsidRPr="001F6AE9">
              <w:rPr>
                <w:sz w:val="18"/>
                <w:szCs w:val="18"/>
              </w:rPr>
              <w:t xml:space="preserve">. г) 1 ТР ТС 004/2011 указано, что технический регламент не распространяется на составные части низковольтного оборудования (узлы, комплектующие и компоненты), поставляемые изготовителем этого низковольтного оборудования на договорной основе, при условии, что эти составные части не могут быть доступны потребителю (пользователю) иначе, как в качестве </w:t>
            </w:r>
            <w:r w:rsidRPr="001F6AE9">
              <w:rPr>
                <w:sz w:val="18"/>
                <w:szCs w:val="18"/>
              </w:rPr>
              <w:lastRenderedPageBreak/>
              <w:t xml:space="preserve">встроенных в низковольтное оборудование, для которого они предназначены. </w:t>
            </w:r>
          </w:p>
          <w:p w14:paraId="0FFB75F8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Для того, чтобы при таможенном оформлении доказать факт, что изделие, подпадающее под область действия ТР ТС 020/2011 и ТР ТС 004/2011, не предназначено для самостоятельного применения конечным потребителем и не может быть доступно потребителю иначе, как в качестве встроенного в готовое изделие, в Решении Совета Евразийской экономической комиссии N130 от 12.11.2021 "О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Союза" (далее – Решение ЕЭК №130), определен особый порядок ввоза. </w:t>
            </w:r>
          </w:p>
          <w:p w14:paraId="3CE957E7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Согласно </w:t>
            </w:r>
            <w:proofErr w:type="spellStart"/>
            <w:r w:rsidRPr="001F6AE9">
              <w:rPr>
                <w:sz w:val="18"/>
                <w:szCs w:val="18"/>
              </w:rPr>
              <w:t>пп</w:t>
            </w:r>
            <w:proofErr w:type="spellEnd"/>
            <w:r w:rsidRPr="001F6AE9">
              <w:rPr>
                <w:sz w:val="18"/>
                <w:szCs w:val="18"/>
              </w:rPr>
              <w:t xml:space="preserve">. д), е) п.6 Решения ЕЭК №130, подтверждение соблюдения мер технического регулирования в соответствии с п.5 настоящего Порядка не требуется в отношении ввозимой (ввезенной) продукции, если такая продукция является: </w:t>
            </w:r>
          </w:p>
          <w:p w14:paraId="5EDE0438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д) запасными частями, которые ввозятся (ввезены) уполномоченным иностранным изготовителем готовой продукции лицом для обслуживания и (или) ремонта ранее ввезенной либо ввозимой указанным лицом на таможенную территорию Союза готовой продукции, а также изготовителем государства-члена либо уполномоченным им лицом для обслуживания и (или) ремонта ранее произведенной и выпущенной в обращение готовой продукции, в отношении которой подтверждено соответствие обязательным требованиям, при условии представления в таможенный орган документов об оценке соответствия готовой продукции (в том числе с истекшим сроком действия), требующей обслуживания и (или) ремонта, и (или) сведений о таких документах. </w:t>
            </w:r>
          </w:p>
          <w:p w14:paraId="0654C73E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>Запасными частями следует считать отдельные детали, предназначенные для замены (ремонта) находящихся (находившихся) в эксплуатации (изношенных, неисправных, отказавших) таких же частей в целях поддержания или восстановления работоспособного состояния изделия без цели их распространения на таможенной территории Союза в ходе коммерческой деятельности.</w:t>
            </w:r>
          </w:p>
          <w:p w14:paraId="7D6C4267" w14:textId="77777777" w:rsidR="00672587" w:rsidRPr="001F6AE9" w:rsidRDefault="00672587" w:rsidP="002A0F33">
            <w:pPr>
              <w:pStyle w:val="Textoftheletter"/>
              <w:spacing w:after="0"/>
              <w:jc w:val="left"/>
              <w:rPr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е) комплектующими, компонентами, сырьем и (или) материалами для производства (изготовления) продукции на таможенной территории Союза, которые ввозятся </w:t>
            </w:r>
            <w:r w:rsidRPr="001F6AE9">
              <w:rPr>
                <w:sz w:val="18"/>
                <w:szCs w:val="18"/>
              </w:rPr>
              <w:lastRenderedPageBreak/>
              <w:t>(ввезены) изготовителем такой продукции либо уполномоченным им лицом для производства (изготовления) продукции исключительно для целей декларанта (если иное не установлено техническим регламентом Союза) при условии наличия у декларанта документа, подтверждающего совершение сделки, а в случае отсутствия сделки - при наличии у декларанта документа, подтверждающего право владения, пользования и (или) распоряжения такими комплектующими, компонентами, сырьем и (или) материалами.</w:t>
            </w:r>
          </w:p>
          <w:p w14:paraId="7A60C9B9" w14:textId="090ADEC6" w:rsidR="00672587" w:rsidRPr="001F6AE9" w:rsidRDefault="00672587" w:rsidP="002A0F33">
            <w:pPr>
              <w:pStyle w:val="Textoftheletter"/>
              <w:spacing w:after="0"/>
              <w:jc w:val="left"/>
              <w:rPr>
                <w:rFonts w:eastAsia="Calibri"/>
                <w:bCs/>
                <w:sz w:val="18"/>
                <w:szCs w:val="18"/>
              </w:rPr>
            </w:pPr>
            <w:r w:rsidRPr="001F6AE9">
              <w:rPr>
                <w:sz w:val="18"/>
                <w:szCs w:val="18"/>
              </w:rPr>
              <w:t xml:space="preserve">Согласно п.7 Решения ЕЭК №130, подтверждением использования ввозимой (ввезенной) продукции для нужд и целей, указанных в подпунктах "а" - "л" пункта 6 настоящего Порядка, является уведомление декларанта, которое предоставляется в виде электронного документа, заверенного электронной подписью, или документа на бумажном носителе по форме согласно приложению, заверенному подписью и печатью декларанта. </w:t>
            </w:r>
          </w:p>
        </w:tc>
      </w:tr>
      <w:tr w:rsidR="00672587" w:rsidRPr="001F6AE9" w14:paraId="12235B49" w14:textId="77777777" w:rsidTr="00BC4F9B">
        <w:trPr>
          <w:trHeight w:val="397"/>
        </w:trPr>
        <w:tc>
          <w:tcPr>
            <w:tcW w:w="880" w:type="dxa"/>
          </w:tcPr>
          <w:p w14:paraId="59E23C40" w14:textId="6BC79E61" w:rsidR="00672587" w:rsidRPr="001F6AE9" w:rsidRDefault="00672587" w:rsidP="006767A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F6A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</w:t>
            </w:r>
            <w:r w:rsidR="002A0F33" w:rsidRPr="001F6AE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23" w:type="dxa"/>
          </w:tcPr>
          <w:p w14:paraId="244668E4" w14:textId="008C8ABC" w:rsidR="00672587" w:rsidRPr="001F6AE9" w:rsidRDefault="00672587" w:rsidP="007A72C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2AB2F078" wp14:editId="6EDDFA10">
                  <wp:extent cx="3047491" cy="758613"/>
                  <wp:effectExtent l="0" t="0" r="63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245" cy="76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</w:tcPr>
          <w:p w14:paraId="3C32BB6F" w14:textId="3BAF25FD" w:rsidR="00672587" w:rsidRPr="001F6AE9" w:rsidRDefault="00672587" w:rsidP="009339B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6AE9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49512816" wp14:editId="44DAFF22">
                  <wp:extent cx="2905760" cy="53464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055" cy="54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300AD197" w14:textId="77777777" w:rsidR="002A0F33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Уточнить формулу, похоже на опечатк</w:t>
            </w:r>
            <w:r w:rsidR="00395646"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у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(вместо переменной «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  <w:t>Tahn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» ошибочно поставили переменную «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  <w:t>h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».</w:t>
            </w:r>
          </w:p>
          <w:p w14:paraId="69851BA5" w14:textId="1ED016E3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Если «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  <w:t>h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» в формуле означает – часы, то получается результаты расчетов существенно отличающиеся, если следовать тексту Европейской директивы, которая была взята за основу при разработке.</w:t>
            </w:r>
          </w:p>
          <w:p w14:paraId="6B2BA20F" w14:textId="77777777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</w:pPr>
            <w:r w:rsidRPr="001F6AE9">
              <w:rPr>
                <w:rFonts w:ascii="Tahoma" w:eastAsia="Calibri" w:hAnsi="Tahoma" w:cs="Tahoma"/>
                <w:bCs/>
                <w:sz w:val="18"/>
                <w:szCs w:val="18"/>
              </w:rPr>
              <w:t>Пример</w:t>
            </w:r>
            <w:r w:rsidRPr="001F6AE9"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  <w:t>:</w:t>
            </w:r>
          </w:p>
          <w:p w14:paraId="014D6B8B" w14:textId="0D92BD8A" w:rsidR="00672587" w:rsidRPr="001F6AE9" w:rsidRDefault="00672587" w:rsidP="002A0F33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bCs/>
                <w:sz w:val="18"/>
                <w:szCs w:val="18"/>
                <w:lang w:val="en-US"/>
              </w:rPr>
            </w:pPr>
            <w:r w:rsidRPr="001F6AE9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 wp14:anchorId="517E0D3B" wp14:editId="4F848526">
                  <wp:extent cx="3210560" cy="750052"/>
                  <wp:effectExtent l="0" t="0" r="8890" b="0"/>
                  <wp:docPr id="3" name="그림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0B7420-1DA6-4809-AF4D-23E6F89BBC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>
                            <a:extLst>
                              <a:ext uri="{FF2B5EF4-FFF2-40B4-BE49-F238E27FC236}">
                                <a16:creationId xmlns:a16="http://schemas.microsoft.com/office/drawing/2014/main" id="{7E0B7420-1DA6-4809-AF4D-23E6F89BBC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575" cy="766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E30337" w14:textId="77777777" w:rsidR="00FE5BEF" w:rsidRPr="001F6AE9" w:rsidRDefault="00FE5BEF">
      <w:pPr>
        <w:rPr>
          <w:rFonts w:ascii="Tahoma" w:hAnsi="Tahoma" w:cs="Tahoma"/>
          <w:sz w:val="18"/>
          <w:szCs w:val="18"/>
        </w:rPr>
      </w:pPr>
    </w:p>
    <w:sectPr w:rsidR="00FE5BEF" w:rsidRPr="001F6AE9" w:rsidSect="00EB0020">
      <w:footerReference w:type="default" r:id="rId12"/>
      <w:pgSz w:w="16838" w:h="11906" w:orient="landscape"/>
      <w:pgMar w:top="-1276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410B" w14:textId="77777777" w:rsidR="00CB617A" w:rsidRDefault="00CB617A" w:rsidP="00441353">
      <w:pPr>
        <w:spacing w:after="0" w:line="240" w:lineRule="auto"/>
      </w:pPr>
      <w:r>
        <w:separator/>
      </w:r>
    </w:p>
  </w:endnote>
  <w:endnote w:type="continuationSeparator" w:id="0">
    <w:p w14:paraId="4B9D1BC6" w14:textId="77777777" w:rsidR="00CB617A" w:rsidRDefault="00CB617A" w:rsidP="0044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113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1918E94" w14:textId="0F3B2DAB" w:rsidR="00817647" w:rsidRDefault="00817647" w:rsidP="00937DC1">
        <w:pPr>
          <w:pStyle w:val="a7"/>
          <w:ind w:right="-598"/>
          <w:jc w:val="center"/>
        </w:pPr>
      </w:p>
      <w:p w14:paraId="6575B176" w14:textId="6E58B319" w:rsidR="00817647" w:rsidRPr="00937DC1" w:rsidRDefault="00817647" w:rsidP="00817647">
        <w:pPr>
          <w:pStyle w:val="a7"/>
          <w:ind w:right="-59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7DC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7DC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37DC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37DC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37DC1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5B7BD544" w14:textId="505DA574" w:rsidR="00441353" w:rsidRDefault="00937DC1" w:rsidP="00937DC1">
    <w:pPr>
      <w:pStyle w:val="a7"/>
      <w:tabs>
        <w:tab w:val="clear" w:pos="4513"/>
        <w:tab w:val="clear" w:pos="9026"/>
        <w:tab w:val="left" w:pos="119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34C9" w14:textId="77777777" w:rsidR="00CB617A" w:rsidRDefault="00CB617A" w:rsidP="00441353">
      <w:pPr>
        <w:spacing w:after="0" w:line="240" w:lineRule="auto"/>
      </w:pPr>
      <w:r>
        <w:separator/>
      </w:r>
    </w:p>
  </w:footnote>
  <w:footnote w:type="continuationSeparator" w:id="0">
    <w:p w14:paraId="2E3DE97F" w14:textId="77777777" w:rsidR="00CB617A" w:rsidRDefault="00CB617A" w:rsidP="00441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70939"/>
    <w:multiLevelType w:val="hybridMultilevel"/>
    <w:tmpl w:val="350EE7BE"/>
    <w:lvl w:ilvl="0" w:tplc="EADA3C0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6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EF"/>
    <w:rsid w:val="0000444E"/>
    <w:rsid w:val="000256AB"/>
    <w:rsid w:val="00055598"/>
    <w:rsid w:val="000762B6"/>
    <w:rsid w:val="00082BA6"/>
    <w:rsid w:val="000B0136"/>
    <w:rsid w:val="000B18EC"/>
    <w:rsid w:val="000C6FB8"/>
    <w:rsid w:val="000C7E6E"/>
    <w:rsid w:val="000D1FE9"/>
    <w:rsid w:val="000D6934"/>
    <w:rsid w:val="00102D9B"/>
    <w:rsid w:val="001061CC"/>
    <w:rsid w:val="00122230"/>
    <w:rsid w:val="0012736C"/>
    <w:rsid w:val="00131C3B"/>
    <w:rsid w:val="00145222"/>
    <w:rsid w:val="00157E17"/>
    <w:rsid w:val="00166DA7"/>
    <w:rsid w:val="00182AC3"/>
    <w:rsid w:val="001B208F"/>
    <w:rsid w:val="001E7670"/>
    <w:rsid w:val="001F47B5"/>
    <w:rsid w:val="001F6AE9"/>
    <w:rsid w:val="0022286A"/>
    <w:rsid w:val="002321E7"/>
    <w:rsid w:val="002415FE"/>
    <w:rsid w:val="00243477"/>
    <w:rsid w:val="00274A29"/>
    <w:rsid w:val="00286FEC"/>
    <w:rsid w:val="002A0F33"/>
    <w:rsid w:val="002A494C"/>
    <w:rsid w:val="002E3D63"/>
    <w:rsid w:val="002F1C02"/>
    <w:rsid w:val="002F2DF1"/>
    <w:rsid w:val="003043AC"/>
    <w:rsid w:val="003151B5"/>
    <w:rsid w:val="00336B86"/>
    <w:rsid w:val="00337126"/>
    <w:rsid w:val="00357B24"/>
    <w:rsid w:val="00373EC9"/>
    <w:rsid w:val="00377055"/>
    <w:rsid w:val="0038173E"/>
    <w:rsid w:val="00395646"/>
    <w:rsid w:val="003D016B"/>
    <w:rsid w:val="003D2D9C"/>
    <w:rsid w:val="003E3E37"/>
    <w:rsid w:val="0041082A"/>
    <w:rsid w:val="00426C20"/>
    <w:rsid w:val="004312AF"/>
    <w:rsid w:val="00441353"/>
    <w:rsid w:val="00455C5C"/>
    <w:rsid w:val="004A2D32"/>
    <w:rsid w:val="004F31DD"/>
    <w:rsid w:val="00513CD2"/>
    <w:rsid w:val="005356DD"/>
    <w:rsid w:val="00566702"/>
    <w:rsid w:val="00571959"/>
    <w:rsid w:val="00582610"/>
    <w:rsid w:val="00592F46"/>
    <w:rsid w:val="005B6539"/>
    <w:rsid w:val="005C57EB"/>
    <w:rsid w:val="005D568C"/>
    <w:rsid w:val="005D66EF"/>
    <w:rsid w:val="00606CEC"/>
    <w:rsid w:val="00612F29"/>
    <w:rsid w:val="00622AF9"/>
    <w:rsid w:val="00627B73"/>
    <w:rsid w:val="006417B2"/>
    <w:rsid w:val="00643D8F"/>
    <w:rsid w:val="00646D35"/>
    <w:rsid w:val="00654E29"/>
    <w:rsid w:val="00661F8A"/>
    <w:rsid w:val="00670CCC"/>
    <w:rsid w:val="00672587"/>
    <w:rsid w:val="006767A5"/>
    <w:rsid w:val="0069242F"/>
    <w:rsid w:val="006A1ED3"/>
    <w:rsid w:val="006A4D1F"/>
    <w:rsid w:val="006C2C77"/>
    <w:rsid w:val="006C2DE8"/>
    <w:rsid w:val="006D0955"/>
    <w:rsid w:val="006D2CD8"/>
    <w:rsid w:val="006F1DDD"/>
    <w:rsid w:val="00713FC3"/>
    <w:rsid w:val="0072384F"/>
    <w:rsid w:val="007305E3"/>
    <w:rsid w:val="007420FE"/>
    <w:rsid w:val="0074445D"/>
    <w:rsid w:val="007472D7"/>
    <w:rsid w:val="007552AF"/>
    <w:rsid w:val="00771BA5"/>
    <w:rsid w:val="00783BCD"/>
    <w:rsid w:val="00785CC1"/>
    <w:rsid w:val="007A54A4"/>
    <w:rsid w:val="007A72CD"/>
    <w:rsid w:val="007B4780"/>
    <w:rsid w:val="007C5276"/>
    <w:rsid w:val="007D5550"/>
    <w:rsid w:val="007D5F93"/>
    <w:rsid w:val="007F4686"/>
    <w:rsid w:val="00807A6F"/>
    <w:rsid w:val="008101C8"/>
    <w:rsid w:val="00814425"/>
    <w:rsid w:val="00817647"/>
    <w:rsid w:val="008409E0"/>
    <w:rsid w:val="00842C71"/>
    <w:rsid w:val="008871C9"/>
    <w:rsid w:val="00895274"/>
    <w:rsid w:val="00896FC7"/>
    <w:rsid w:val="008A5C1D"/>
    <w:rsid w:val="008A6701"/>
    <w:rsid w:val="008C5EE4"/>
    <w:rsid w:val="008E7045"/>
    <w:rsid w:val="009022BE"/>
    <w:rsid w:val="00920BDA"/>
    <w:rsid w:val="00924B50"/>
    <w:rsid w:val="00926524"/>
    <w:rsid w:val="009272FB"/>
    <w:rsid w:val="009339B5"/>
    <w:rsid w:val="009362F9"/>
    <w:rsid w:val="00937DC1"/>
    <w:rsid w:val="00942139"/>
    <w:rsid w:val="0094404E"/>
    <w:rsid w:val="0094557D"/>
    <w:rsid w:val="00965FC3"/>
    <w:rsid w:val="00971C55"/>
    <w:rsid w:val="00977A86"/>
    <w:rsid w:val="00991704"/>
    <w:rsid w:val="009927FE"/>
    <w:rsid w:val="009A1AB4"/>
    <w:rsid w:val="009B7699"/>
    <w:rsid w:val="00A16CE3"/>
    <w:rsid w:val="00A44654"/>
    <w:rsid w:val="00A650D6"/>
    <w:rsid w:val="00A71D6A"/>
    <w:rsid w:val="00A76CFB"/>
    <w:rsid w:val="00A81CF3"/>
    <w:rsid w:val="00AC2650"/>
    <w:rsid w:val="00AD3045"/>
    <w:rsid w:val="00AD5DF8"/>
    <w:rsid w:val="00AE424A"/>
    <w:rsid w:val="00B05F6E"/>
    <w:rsid w:val="00B36EFB"/>
    <w:rsid w:val="00B543E6"/>
    <w:rsid w:val="00B60DB5"/>
    <w:rsid w:val="00B61145"/>
    <w:rsid w:val="00B6734D"/>
    <w:rsid w:val="00B80960"/>
    <w:rsid w:val="00B830C4"/>
    <w:rsid w:val="00BA6A8D"/>
    <w:rsid w:val="00BC4F9B"/>
    <w:rsid w:val="00BC7A61"/>
    <w:rsid w:val="00BD0781"/>
    <w:rsid w:val="00BD5504"/>
    <w:rsid w:val="00BE2EDC"/>
    <w:rsid w:val="00C020F6"/>
    <w:rsid w:val="00C07834"/>
    <w:rsid w:val="00C35507"/>
    <w:rsid w:val="00C36378"/>
    <w:rsid w:val="00C4212B"/>
    <w:rsid w:val="00C475F9"/>
    <w:rsid w:val="00C570C6"/>
    <w:rsid w:val="00C61812"/>
    <w:rsid w:val="00C778EA"/>
    <w:rsid w:val="00C91F89"/>
    <w:rsid w:val="00C96EB2"/>
    <w:rsid w:val="00CA434F"/>
    <w:rsid w:val="00CA6CEF"/>
    <w:rsid w:val="00CB617A"/>
    <w:rsid w:val="00CB6A5B"/>
    <w:rsid w:val="00CC48ED"/>
    <w:rsid w:val="00D45300"/>
    <w:rsid w:val="00D91BD5"/>
    <w:rsid w:val="00D93FB0"/>
    <w:rsid w:val="00D95581"/>
    <w:rsid w:val="00DA0CBF"/>
    <w:rsid w:val="00DA3853"/>
    <w:rsid w:val="00DA663E"/>
    <w:rsid w:val="00DB0C67"/>
    <w:rsid w:val="00DB4205"/>
    <w:rsid w:val="00DB76EF"/>
    <w:rsid w:val="00DC0450"/>
    <w:rsid w:val="00DC3091"/>
    <w:rsid w:val="00DD0B9A"/>
    <w:rsid w:val="00E02267"/>
    <w:rsid w:val="00E27CEE"/>
    <w:rsid w:val="00E449C0"/>
    <w:rsid w:val="00E76F21"/>
    <w:rsid w:val="00E8411A"/>
    <w:rsid w:val="00E96070"/>
    <w:rsid w:val="00EA5BB1"/>
    <w:rsid w:val="00EA673D"/>
    <w:rsid w:val="00EB0020"/>
    <w:rsid w:val="00EB35A3"/>
    <w:rsid w:val="00EB4D98"/>
    <w:rsid w:val="00EC0B28"/>
    <w:rsid w:val="00EC7654"/>
    <w:rsid w:val="00ED28D8"/>
    <w:rsid w:val="00EE6AD1"/>
    <w:rsid w:val="00EF141A"/>
    <w:rsid w:val="00F0140F"/>
    <w:rsid w:val="00F03316"/>
    <w:rsid w:val="00F133AB"/>
    <w:rsid w:val="00F324E2"/>
    <w:rsid w:val="00F36B27"/>
    <w:rsid w:val="00F43307"/>
    <w:rsid w:val="00F43B6F"/>
    <w:rsid w:val="00F46444"/>
    <w:rsid w:val="00F47DDE"/>
    <w:rsid w:val="00F65B6E"/>
    <w:rsid w:val="00F72344"/>
    <w:rsid w:val="00F8107B"/>
    <w:rsid w:val="00F828E3"/>
    <w:rsid w:val="00F93E38"/>
    <w:rsid w:val="00FA1FC4"/>
    <w:rsid w:val="00FA5275"/>
    <w:rsid w:val="00FB6504"/>
    <w:rsid w:val="00FC7A03"/>
    <w:rsid w:val="00FD4235"/>
    <w:rsid w:val="00FE5BEF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792B"/>
  <w15:chartTrackingRefBased/>
  <w15:docId w15:val="{62B7BAD2-22B5-4C1B-8ADE-CD45341F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39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353"/>
  </w:style>
  <w:style w:type="paragraph" w:styleId="a7">
    <w:name w:val="footer"/>
    <w:basedOn w:val="a"/>
    <w:link w:val="a8"/>
    <w:uiPriority w:val="99"/>
    <w:unhideWhenUsed/>
    <w:rsid w:val="0044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353"/>
  </w:style>
  <w:style w:type="paragraph" w:customStyle="1" w:styleId="Textoftheletter">
    <w:name w:val="Text of the letter"/>
    <w:basedOn w:val="a"/>
    <w:qFormat/>
    <w:rsid w:val="00A16CE3"/>
    <w:pPr>
      <w:spacing w:after="120" w:line="240" w:lineRule="auto"/>
      <w:ind w:firstLine="357"/>
      <w:jc w:val="both"/>
    </w:pPr>
    <w:rPr>
      <w:rFonts w:ascii="Tahoma" w:eastAsiaTheme="minorEastAsia" w:hAnsi="Tahoma" w:cs="Tahoma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C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9E19-54B8-4017-AE24-916FA00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1905</Words>
  <Characters>10859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Olga Kirichinskaya</cp:lastModifiedBy>
  <cp:revision>4</cp:revision>
  <dcterms:created xsi:type="dcterms:W3CDTF">2026-04-29T13:42:00Z</dcterms:created>
  <dcterms:modified xsi:type="dcterms:W3CDTF">2026-04-29T14:04:00Z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2021-06-22T08:24:49Z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d484dd4d-c1d3-4d6a-ada6-f88f6e7dbdd8</vt:lpwstr>
  </property>
  <property fmtid="{D5CDD505-2E9C-101B-9397-08002B2CF9AE}" pid="8" name="MSIP_Label_477eab6e-04c6-4822-9252-98ab9f25736b_ContentBits">
    <vt:lpwstr>2</vt:lpwstr>
  </property>
</Properties>
</file>