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Pr="0035149B" w:rsidRDefault="00F218B3" w:rsidP="00256C36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35149B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</w:t>
      </w:r>
      <w:r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решения</w:t>
      </w:r>
      <w:r w:rsidR="004561CC"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Коллегии</w:t>
      </w:r>
      <w:r w:rsidRPr="002B157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Евразийской </w:t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экономической комиссии на условия ведения </w:t>
      </w:r>
      <w:r w:rsidRPr="0035149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Pr="0035149B" w:rsidRDefault="00F218B3" w:rsidP="000E1372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проекта решения: </w:t>
      </w:r>
    </w:p>
    <w:p w:rsidR="00A2486C" w:rsidRPr="00263D7B" w:rsidRDefault="00CA674E" w:rsidP="00A941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решения Коллегии Евразийской экономической комиссии 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«</w:t>
      </w:r>
      <w:r w:rsidR="00C74FE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C7183D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 организации совместных исследований и реализации совместных проектов в государствах – членах Евразийского экономического союза</w:t>
      </w:r>
      <w:r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(далее – </w:t>
      </w:r>
      <w:r w:rsidR="00254157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4D1A74" w:rsidRPr="00263D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роект </w:t>
      </w:r>
      <w:r w:rsidR="004D1A74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7D1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ЕЭК, </w:t>
      </w:r>
      <w:r w:rsidR="00111E1E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государства-члены, ЕАЭС, Союз, соответственно</w:t>
      </w:r>
      <w:r w:rsidR="00724BA0" w:rsidRPr="00111E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218B3" w:rsidRPr="0035149B" w:rsidTr="00E17C32">
        <w:tc>
          <w:tcPr>
            <w:tcW w:w="9853" w:type="dxa"/>
          </w:tcPr>
          <w:p w:rsidR="00B415C2" w:rsidRPr="0035149B" w:rsidRDefault="00B415C2" w:rsidP="00961237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</w:p>
          <w:p w:rsidR="00532458" w:rsidRPr="0035149B" w:rsidRDefault="00F218B3" w:rsidP="000E1372">
            <w:pPr>
              <w:ind w:firstLine="743"/>
              <w:jc w:val="both"/>
              <w:rPr>
                <w:b/>
                <w:sz w:val="28"/>
                <w:szCs w:val="28"/>
              </w:rPr>
            </w:pPr>
            <w:r w:rsidRPr="0035149B">
              <w:rPr>
                <w:b/>
                <w:sz w:val="28"/>
                <w:szCs w:val="28"/>
              </w:rPr>
              <w:t>1. Проблема, на решение которо</w:t>
            </w:r>
            <w:r w:rsidR="00532458" w:rsidRPr="0035149B">
              <w:rPr>
                <w:b/>
                <w:sz w:val="28"/>
                <w:szCs w:val="28"/>
              </w:rPr>
              <w:t>й направлен проект решения ЕЭК:</w:t>
            </w:r>
          </w:p>
          <w:p w:rsidR="00FA57F4" w:rsidRPr="0075361F" w:rsidRDefault="001515FE" w:rsidP="00FA57F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Стратегическими документами государств-членов признается важность фактора научно-технического и инновационного развития как одного </w:t>
            </w:r>
            <w:r w:rsidR="00B21EE7" w:rsidRPr="0075361F">
              <w:rPr>
                <w:sz w:val="28"/>
                <w:szCs w:val="28"/>
                <w:u w:val="single"/>
              </w:rPr>
              <w:br/>
            </w:r>
            <w:r w:rsidRPr="0075361F">
              <w:rPr>
                <w:sz w:val="28"/>
                <w:szCs w:val="28"/>
                <w:u w:val="single"/>
              </w:rPr>
              <w:t>из ключевых в обеспечении долгосрочной конкурентоспособности национальных экономик.</w:t>
            </w:r>
            <w:r w:rsidR="00E43979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Однако </w:t>
            </w:r>
            <w:r w:rsidR="00E43979">
              <w:rPr>
                <w:sz w:val="28"/>
                <w:szCs w:val="28"/>
                <w:u w:val="single"/>
              </w:rPr>
              <w:t>наука и технологии пока играю</w:t>
            </w:r>
            <w:r w:rsidR="00D35B54" w:rsidRPr="0075361F">
              <w:rPr>
                <w:sz w:val="28"/>
                <w:szCs w:val="28"/>
                <w:u w:val="single"/>
              </w:rPr>
              <w:t>т ограниченную роль в экономиках госуда</w:t>
            </w:r>
            <w:r w:rsidR="00FA57F4" w:rsidRPr="0075361F">
              <w:rPr>
                <w:sz w:val="28"/>
                <w:szCs w:val="28"/>
                <w:u w:val="single"/>
              </w:rPr>
              <w:t xml:space="preserve">рств-членов. </w:t>
            </w:r>
            <w:r w:rsidR="00844F18">
              <w:rPr>
                <w:sz w:val="28"/>
                <w:szCs w:val="28"/>
                <w:u w:val="single"/>
              </w:rPr>
              <w:t xml:space="preserve">Более того, инновационный потенциал государств-членов сильно разнится. </w:t>
            </w:r>
            <w:r w:rsidR="00FA57F4" w:rsidRPr="0075361F">
              <w:rPr>
                <w:sz w:val="28"/>
                <w:szCs w:val="28"/>
                <w:u w:val="single"/>
              </w:rPr>
              <w:t>В рейтинге ООН инновационного развития (глобальный инновационный индекс (ГИИ), 2022 год)</w:t>
            </w:r>
            <w:r w:rsidR="00FA57F4" w:rsidRPr="0075361F">
              <w:rPr>
                <w:rStyle w:val="af7"/>
                <w:sz w:val="28"/>
                <w:szCs w:val="28"/>
                <w:u w:val="single"/>
              </w:rPr>
              <w:footnoteReference w:id="1"/>
            </w:r>
            <w:r w:rsidR="00FA57F4" w:rsidRPr="0075361F">
              <w:rPr>
                <w:sz w:val="28"/>
                <w:szCs w:val="28"/>
                <w:u w:val="single"/>
              </w:rPr>
              <w:t xml:space="preserve"> Российская Федерации занимает 47 место, Республика Беларусь – 77 место, Республика Армения – 80 место, Республика Казахстан – 83 место, Кыргызская Республика – 94 место.</w:t>
            </w:r>
          </w:p>
          <w:p w:rsidR="001515FE" w:rsidRPr="0075361F" w:rsidRDefault="00FA57F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При решении задачи повышения конкурентоспособности национальных экономик за счет научно-технологического фактора </w:t>
            </w:r>
            <w:r w:rsidR="009D6C88" w:rsidRPr="0075361F">
              <w:rPr>
                <w:sz w:val="28"/>
                <w:szCs w:val="28"/>
                <w:u w:val="single"/>
              </w:rPr>
              <w:t>государств</w:t>
            </w:r>
            <w:r w:rsidR="00D35B54" w:rsidRPr="0075361F">
              <w:rPr>
                <w:sz w:val="28"/>
                <w:szCs w:val="28"/>
                <w:u w:val="single"/>
              </w:rPr>
              <w:t>а-члены сталкиваются</w:t>
            </w:r>
            <w:r w:rsidR="009D6C88"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 общими </w:t>
            </w:r>
            <w:r w:rsidRPr="0075361F">
              <w:rPr>
                <w:sz w:val="28"/>
                <w:szCs w:val="28"/>
                <w:u w:val="single"/>
              </w:rPr>
              <w:t xml:space="preserve">вызовами, связанными с необходимостью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увеличения финансирования сектора исследований и разработок, </w:t>
            </w:r>
            <w:r w:rsidRPr="0075361F">
              <w:rPr>
                <w:sz w:val="28"/>
                <w:szCs w:val="28"/>
                <w:u w:val="single"/>
              </w:rPr>
              <w:t xml:space="preserve">роста </w:t>
            </w:r>
            <w:r w:rsidR="009D6C88" w:rsidRPr="0075361F">
              <w:rPr>
                <w:sz w:val="28"/>
                <w:szCs w:val="28"/>
                <w:u w:val="single"/>
              </w:rPr>
              <w:t xml:space="preserve">численности </w:t>
            </w:r>
            <w:r w:rsidR="006A1B49" w:rsidRPr="0075361F">
              <w:rPr>
                <w:sz w:val="28"/>
                <w:szCs w:val="28"/>
                <w:u w:val="single"/>
              </w:rPr>
              <w:t>исследователей</w:t>
            </w:r>
            <w:r w:rsidR="009D6C88" w:rsidRPr="0075361F">
              <w:rPr>
                <w:sz w:val="28"/>
                <w:szCs w:val="28"/>
                <w:u w:val="single"/>
              </w:rPr>
              <w:t>, повышения инновационной активности хозяйствующих субъектов.</w:t>
            </w:r>
          </w:p>
          <w:p w:rsidR="00D35B54" w:rsidRPr="0075361F" w:rsidRDefault="00E46575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Затраты на исследования и разработки </w:t>
            </w:r>
            <w:r w:rsidR="006A1B49" w:rsidRPr="0075361F">
              <w:rPr>
                <w:sz w:val="28"/>
                <w:szCs w:val="28"/>
                <w:u w:val="single"/>
              </w:rPr>
              <w:t>по последним доступным данным в ЕАЭС не превышают 1% ВВП, что ниже среднемирового уровня практически в 2 раза</w:t>
            </w:r>
            <w:r w:rsidR="00D35B54" w:rsidRPr="0075361F">
              <w:rPr>
                <w:sz w:val="28"/>
                <w:szCs w:val="28"/>
                <w:u w:val="single"/>
              </w:rPr>
              <w:t>, и данная тенденция сохраняется длительное время</w:t>
            </w:r>
            <w:r w:rsidR="006A1B49" w:rsidRPr="0075361F">
              <w:rPr>
                <w:sz w:val="28"/>
                <w:szCs w:val="28"/>
                <w:u w:val="single"/>
              </w:rPr>
              <w:t xml:space="preserve">. </w:t>
            </w:r>
            <w:r w:rsidR="00D35B54" w:rsidRPr="0075361F">
              <w:rPr>
                <w:sz w:val="28"/>
                <w:szCs w:val="28"/>
                <w:u w:val="single"/>
              </w:rPr>
              <w:t>При этом у</w:t>
            </w:r>
            <w:r w:rsidR="006A1B49" w:rsidRPr="0075361F">
              <w:rPr>
                <w:sz w:val="28"/>
                <w:szCs w:val="28"/>
                <w:u w:val="single"/>
              </w:rPr>
              <w:t xml:space="preserve">ровень расходов между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самими </w:t>
            </w:r>
            <w:r w:rsidR="006A1B49" w:rsidRPr="0075361F">
              <w:rPr>
                <w:sz w:val="28"/>
                <w:szCs w:val="28"/>
                <w:u w:val="single"/>
              </w:rPr>
              <w:t xml:space="preserve">государствами-членами </w:t>
            </w:r>
            <w:r w:rsidR="00D35B54" w:rsidRPr="0075361F">
              <w:rPr>
                <w:sz w:val="28"/>
                <w:szCs w:val="28"/>
                <w:u w:val="single"/>
              </w:rPr>
              <w:t>разнится в 14 раз</w:t>
            </w:r>
            <w:r w:rsidR="005051C3">
              <w:rPr>
                <w:sz w:val="28"/>
                <w:szCs w:val="28"/>
                <w:u w:val="single"/>
              </w:rPr>
              <w:t xml:space="preserve">, </w:t>
            </w:r>
            <w:r w:rsidR="00280104">
              <w:rPr>
                <w:sz w:val="28"/>
                <w:szCs w:val="28"/>
                <w:u w:val="single"/>
              </w:rPr>
              <w:br/>
            </w:r>
            <w:r w:rsidR="005051C3">
              <w:rPr>
                <w:sz w:val="28"/>
                <w:szCs w:val="28"/>
                <w:u w:val="single"/>
              </w:rPr>
              <w:t xml:space="preserve">что осложняет </w:t>
            </w:r>
            <w:r w:rsidR="00844F18">
              <w:rPr>
                <w:sz w:val="28"/>
                <w:szCs w:val="28"/>
                <w:u w:val="single"/>
              </w:rPr>
              <w:t>реализацию прогрессивных сценариев развития.</w:t>
            </w:r>
            <w:r w:rsidR="00D35B54" w:rsidRPr="0075361F">
              <w:rPr>
                <w:rStyle w:val="af7"/>
                <w:sz w:val="28"/>
                <w:szCs w:val="28"/>
                <w:u w:val="single"/>
              </w:rPr>
              <w:footnoteReference w:id="2"/>
            </w:r>
            <w:r w:rsidR="00D35B54" w:rsidRPr="0075361F">
              <w:rPr>
                <w:sz w:val="28"/>
                <w:szCs w:val="28"/>
                <w:u w:val="single"/>
              </w:rPr>
              <w:t xml:space="preserve"> </w:t>
            </w:r>
          </w:p>
          <w:p w:rsidR="009A0CB8" w:rsidRPr="00263D7B" w:rsidRDefault="00FA57F4" w:rsidP="009A0CB8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75361F">
              <w:rPr>
                <w:sz w:val="28"/>
                <w:szCs w:val="28"/>
                <w:u w:val="single"/>
              </w:rPr>
              <w:t xml:space="preserve">Динамика численности </w:t>
            </w:r>
            <w:r w:rsidR="00220F96" w:rsidRPr="0075361F">
              <w:rPr>
                <w:sz w:val="28"/>
                <w:szCs w:val="28"/>
                <w:u w:val="single"/>
              </w:rPr>
              <w:t>организаций, выполнявших научные и</w:t>
            </w:r>
            <w:r w:rsidR="00D35B54" w:rsidRPr="0075361F">
              <w:rPr>
                <w:sz w:val="28"/>
                <w:szCs w:val="28"/>
                <w:u w:val="single"/>
              </w:rPr>
              <w:t>сследования и разработки</w:t>
            </w:r>
            <w:r w:rsidRPr="0075361F">
              <w:rPr>
                <w:sz w:val="28"/>
                <w:szCs w:val="28"/>
                <w:u w:val="single"/>
              </w:rPr>
              <w:t xml:space="preserve"> </w:t>
            </w:r>
            <w:r w:rsidR="00D35B54" w:rsidRPr="0075361F">
              <w:rPr>
                <w:sz w:val="28"/>
                <w:szCs w:val="28"/>
                <w:u w:val="single"/>
              </w:rPr>
              <w:t>в ЕАЭС,</w:t>
            </w:r>
            <w:r w:rsidRPr="0075361F">
              <w:rPr>
                <w:sz w:val="28"/>
                <w:szCs w:val="28"/>
                <w:u w:val="single"/>
              </w:rPr>
              <w:t xml:space="preserve"> носит консервативный характер. В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2021 году</w:t>
            </w:r>
            <w:r w:rsidRPr="0075361F">
              <w:rPr>
                <w:sz w:val="28"/>
                <w:szCs w:val="28"/>
                <w:u w:val="single"/>
              </w:rPr>
              <w:t xml:space="preserve"> число таких организаций в ЕАЭС </w:t>
            </w:r>
            <w:r w:rsidR="00220F96" w:rsidRPr="0075361F">
              <w:rPr>
                <w:sz w:val="28"/>
                <w:szCs w:val="28"/>
                <w:u w:val="single"/>
              </w:rPr>
              <w:t>составило 5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220F96" w:rsidRPr="0075361F">
              <w:rPr>
                <w:sz w:val="28"/>
                <w:szCs w:val="28"/>
                <w:u w:val="single"/>
              </w:rPr>
              <w:t>224</w:t>
            </w:r>
            <w:r w:rsidRPr="0075361F">
              <w:rPr>
                <w:sz w:val="28"/>
                <w:szCs w:val="28"/>
                <w:u w:val="single"/>
              </w:rPr>
              <w:t>,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в том числе</w:t>
            </w:r>
            <w:r w:rsidR="005A539A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>в Армении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94, </w:t>
            </w:r>
            <w:r w:rsidR="00B21EE7" w:rsidRPr="0075361F">
              <w:rPr>
                <w:sz w:val="28"/>
                <w:szCs w:val="28"/>
                <w:u w:val="single"/>
              </w:rPr>
              <w:t>Беларуси</w:t>
            </w:r>
            <w:r w:rsidR="00220F96" w:rsidRPr="0075361F">
              <w:rPr>
                <w:sz w:val="28"/>
                <w:szCs w:val="28"/>
                <w:u w:val="single"/>
              </w:rPr>
              <w:t xml:space="preserve"> – 445,</w:t>
            </w:r>
            <w:r w:rsidR="00B21EE7" w:rsidRPr="0075361F">
              <w:rPr>
                <w:sz w:val="28"/>
                <w:szCs w:val="28"/>
                <w:u w:val="single"/>
              </w:rPr>
              <w:t xml:space="preserve"> Казахстане – 438, Кыргызстане – 72</w:t>
            </w:r>
            <w:r w:rsidR="005864EE" w:rsidRPr="0075361F">
              <w:rPr>
                <w:sz w:val="28"/>
                <w:szCs w:val="28"/>
                <w:u w:val="single"/>
              </w:rPr>
              <w:t>, России – 4</w:t>
            </w:r>
            <w:r w:rsidRPr="0075361F">
              <w:rPr>
                <w:sz w:val="28"/>
                <w:szCs w:val="28"/>
                <w:u w:val="single"/>
              </w:rPr>
              <w:t> </w:t>
            </w:r>
            <w:r w:rsidR="005864EE" w:rsidRPr="0075361F">
              <w:rPr>
                <w:sz w:val="28"/>
                <w:szCs w:val="28"/>
                <w:u w:val="single"/>
              </w:rPr>
              <w:t>175</w:t>
            </w:r>
            <w:r w:rsidRPr="0075361F">
              <w:rPr>
                <w:sz w:val="28"/>
                <w:szCs w:val="28"/>
                <w:u w:val="single"/>
              </w:rPr>
              <w:t xml:space="preserve">. </w:t>
            </w:r>
            <w:r w:rsidR="00042FDF" w:rsidRPr="0075361F">
              <w:rPr>
                <w:sz w:val="28"/>
                <w:szCs w:val="28"/>
                <w:u w:val="single"/>
              </w:rPr>
              <w:t>Ч</w:t>
            </w:r>
            <w:r w:rsidR="00B21EE7" w:rsidRPr="0075361F">
              <w:rPr>
                <w:sz w:val="28"/>
                <w:szCs w:val="28"/>
                <w:u w:val="single"/>
              </w:rPr>
              <w:t>и</w:t>
            </w:r>
            <w:r w:rsidR="00B21EE7" w:rsidRPr="002B1578">
              <w:rPr>
                <w:sz w:val="28"/>
                <w:szCs w:val="28"/>
                <w:u w:val="single"/>
              </w:rPr>
              <w:t xml:space="preserve">сленность </w:t>
            </w:r>
            <w:r w:rsidR="00CC787F" w:rsidRPr="002B1578">
              <w:rPr>
                <w:sz w:val="28"/>
                <w:szCs w:val="28"/>
                <w:u w:val="single"/>
              </w:rPr>
              <w:t>исследователей, занятых</w:t>
            </w:r>
            <w:r w:rsidR="00B21EE7" w:rsidRPr="002B1578">
              <w:rPr>
                <w:sz w:val="28"/>
                <w:szCs w:val="28"/>
                <w:u w:val="single"/>
              </w:rPr>
              <w:t xml:space="preserve"> научными исследованиями</w:t>
            </w:r>
            <w:r w:rsidR="00280104" w:rsidRPr="002B1578">
              <w:rPr>
                <w:sz w:val="28"/>
                <w:szCs w:val="28"/>
                <w:u w:val="single"/>
              </w:rPr>
              <w:t xml:space="preserve"> </w:t>
            </w:r>
            <w:r w:rsidR="00280104" w:rsidRPr="002B1578">
              <w:rPr>
                <w:sz w:val="28"/>
                <w:szCs w:val="28"/>
                <w:u w:val="single"/>
              </w:rPr>
              <w:br/>
              <w:t xml:space="preserve">и </w:t>
            </w:r>
            <w:r w:rsidR="00B21EE7" w:rsidRPr="002B1578">
              <w:rPr>
                <w:sz w:val="28"/>
                <w:szCs w:val="28"/>
                <w:u w:val="single"/>
              </w:rPr>
              <w:t>разработками</w:t>
            </w:r>
            <w:r w:rsidR="00042FDF" w:rsidRPr="0075361F">
              <w:rPr>
                <w:sz w:val="28"/>
                <w:szCs w:val="28"/>
                <w:u w:val="single"/>
              </w:rPr>
              <w:t xml:space="preserve"> </w:t>
            </w:r>
            <w:r w:rsidR="00B21EE7" w:rsidRPr="0075361F">
              <w:rPr>
                <w:sz w:val="28"/>
                <w:szCs w:val="28"/>
                <w:u w:val="single"/>
              </w:rPr>
              <w:t xml:space="preserve">в ЕАЭС, </w:t>
            </w:r>
            <w:r w:rsidR="00CC787F" w:rsidRPr="0075361F">
              <w:rPr>
                <w:sz w:val="28"/>
                <w:szCs w:val="28"/>
                <w:u w:val="single"/>
              </w:rPr>
              <w:t xml:space="preserve">сокращается: за 2010-2021 гг. численность сократилась с 386,7 тыс. чел. до 364,7 тыс. чел. </w:t>
            </w:r>
            <w:r w:rsidR="00D35B54" w:rsidRPr="0075361F">
              <w:rPr>
                <w:sz w:val="28"/>
                <w:szCs w:val="28"/>
                <w:u w:val="single"/>
              </w:rPr>
              <w:t xml:space="preserve">Наибольший показатель обеспеченности </w:t>
            </w:r>
            <w:r w:rsidR="00D35B54" w:rsidRPr="0075361F">
              <w:rPr>
                <w:sz w:val="28"/>
                <w:szCs w:val="28"/>
                <w:u w:val="single"/>
              </w:rPr>
              <w:lastRenderedPageBreak/>
              <w:t xml:space="preserve">научными кадрами наблюдался в 2014 году (91 исследователь </w:t>
            </w:r>
            <w:r w:rsidR="00280104">
              <w:rPr>
                <w:sz w:val="28"/>
                <w:szCs w:val="28"/>
                <w:u w:val="single"/>
              </w:rPr>
              <w:br/>
            </w:r>
            <w:r w:rsidR="00D35B54" w:rsidRPr="0075361F">
              <w:rPr>
                <w:sz w:val="28"/>
                <w:szCs w:val="28"/>
                <w:u w:val="single"/>
              </w:rPr>
              <w:t>на 1 организацию).</w:t>
            </w:r>
          </w:p>
          <w:p w:rsidR="00962507" w:rsidRDefault="00962507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Сегодня усиливается влияние внешних шоков для развития национальных экономик государств-членов, связанных со смещением центра мирового экономического развития в Азию, обострением геополитического противостояния, появлением и развитием пандемий. Нарушаются производственные, логистические, финансовые цепочки. Технологический фактор становится инструментом сдерживания развивающихся экономик.  </w:t>
            </w:r>
          </w:p>
          <w:p w:rsidR="00CF146B" w:rsidRPr="00263D7B" w:rsidRDefault="00962507" w:rsidP="00962507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 таких условиях важно обеспечить достижение технологической независимости государств-членов, способствующей повышению устойчивости национальных экономик государств-членов и </w:t>
            </w:r>
            <w:r w:rsidR="00844F18">
              <w:rPr>
                <w:sz w:val="28"/>
                <w:szCs w:val="28"/>
                <w:u w:val="single"/>
              </w:rPr>
              <w:t xml:space="preserve">их </w:t>
            </w:r>
            <w:r>
              <w:rPr>
                <w:sz w:val="28"/>
                <w:szCs w:val="28"/>
                <w:u w:val="single"/>
              </w:rPr>
              <w:t xml:space="preserve">долгосрочному развитию. </w:t>
            </w:r>
            <w:r w:rsidR="00280104">
              <w:rPr>
                <w:sz w:val="28"/>
                <w:szCs w:val="28"/>
                <w:u w:val="single"/>
              </w:rPr>
              <w:br/>
            </w:r>
            <w:r>
              <w:rPr>
                <w:sz w:val="28"/>
                <w:szCs w:val="28"/>
                <w:u w:val="single"/>
              </w:rPr>
              <w:t>В условиях ограниченных ресурсов и общих вызовов эффективным инструментом реализации взаимовыгодной интеграции становится координация государств-членов через определение сфер взаимного</w:t>
            </w:r>
            <w:r w:rsidR="00244158" w:rsidRPr="00263D7B">
              <w:rPr>
                <w:sz w:val="28"/>
                <w:szCs w:val="28"/>
                <w:u w:val="single"/>
              </w:rPr>
              <w:t xml:space="preserve"> интерес</w:t>
            </w:r>
            <w:r>
              <w:rPr>
                <w:sz w:val="28"/>
                <w:szCs w:val="28"/>
                <w:u w:val="single"/>
              </w:rPr>
              <w:t>а для проведения совместных исследований и реализации совместных инновационных проектов</w:t>
            </w:r>
            <w:r w:rsidR="00244158" w:rsidRPr="00263D7B">
              <w:rPr>
                <w:sz w:val="28"/>
                <w:szCs w:val="28"/>
                <w:u w:val="single"/>
              </w:rPr>
              <w:t xml:space="preserve">, </w:t>
            </w:r>
            <w:r w:rsidR="000B5635" w:rsidRPr="00263D7B">
              <w:rPr>
                <w:sz w:val="28"/>
                <w:szCs w:val="28"/>
                <w:u w:val="single"/>
              </w:rPr>
              <w:t xml:space="preserve">критериев оценки </w:t>
            </w:r>
            <w:r>
              <w:rPr>
                <w:sz w:val="28"/>
                <w:szCs w:val="28"/>
                <w:u w:val="single"/>
              </w:rPr>
              <w:t xml:space="preserve">таких </w:t>
            </w:r>
            <w:r w:rsidR="00244158" w:rsidRPr="00263D7B">
              <w:rPr>
                <w:sz w:val="28"/>
                <w:szCs w:val="28"/>
                <w:u w:val="single"/>
              </w:rPr>
              <w:t xml:space="preserve">исследований и </w:t>
            </w:r>
            <w:r>
              <w:rPr>
                <w:sz w:val="28"/>
                <w:szCs w:val="28"/>
                <w:u w:val="single"/>
              </w:rPr>
              <w:t>проектов.</w:t>
            </w:r>
          </w:p>
          <w:p w:rsidR="00EF48A9" w:rsidRPr="0035149B" w:rsidRDefault="00EF48A9" w:rsidP="006310B4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right="-57" w:firstLine="743"/>
              <w:rPr>
                <w:rStyle w:val="CharStyle7"/>
                <w:color w:val="auto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2. Це</w:t>
            </w:r>
            <w:r w:rsidR="001864C3" w:rsidRPr="0035149B">
              <w:rPr>
                <w:rFonts w:eastAsia="Calibri"/>
                <w:b/>
                <w:sz w:val="28"/>
                <w:szCs w:val="28"/>
              </w:rPr>
              <w:t>ль регулирования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="0088375D" w:rsidRPr="0035149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</w:p>
          <w:p w:rsidR="00CF146B" w:rsidRPr="00263D7B" w:rsidRDefault="005B37A0" w:rsidP="00BF3F49">
            <w:pPr>
              <w:pStyle w:val="HTML"/>
              <w:shd w:val="clear" w:color="auto" w:fill="FFFFFF"/>
              <w:ind w:firstLine="743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Ц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елью </w:t>
            </w:r>
            <w:r w:rsidR="00DE40D3" w:rsidRPr="00263D7B">
              <w:rPr>
                <w:rStyle w:val="CharStyle7"/>
                <w:color w:val="auto"/>
                <w:sz w:val="28"/>
                <w:szCs w:val="28"/>
              </w:rPr>
              <w:t>принятия</w:t>
            </w:r>
            <w:r w:rsidR="00C571AF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69B2" w:rsidRPr="00263D7B">
              <w:rPr>
                <w:rStyle w:val="CharStyle7"/>
                <w:color w:val="auto"/>
                <w:sz w:val="28"/>
                <w:szCs w:val="28"/>
              </w:rPr>
              <w:t xml:space="preserve">проекта решения </w:t>
            </w:r>
            <w:r w:rsidR="00BF3F49" w:rsidRPr="00263D7B">
              <w:rPr>
                <w:rStyle w:val="CharStyle7"/>
                <w:color w:val="auto"/>
                <w:sz w:val="28"/>
                <w:szCs w:val="28"/>
              </w:rPr>
              <w:t>является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стимулирование проведения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совместных исследований и 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>реализации</w:t>
            </w:r>
            <w:r w:rsidR="002B0775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инновационных проектов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в сферах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,</w:t>
            </w:r>
            <w:r w:rsidR="00077547">
              <w:rPr>
                <w:rStyle w:val="CharStyle7"/>
                <w:color w:val="auto"/>
                <w:sz w:val="28"/>
                <w:szCs w:val="28"/>
              </w:rPr>
              <w:t xml:space="preserve"> представляющих взаимный интерес, что буде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т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способств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>овать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всесторонн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ей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модернизаци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>, коопераци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и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и повышени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 конкурентоспособности национальных экономик</w:t>
            </w:r>
            <w:r w:rsidR="0048711A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5E0D44" w:rsidRPr="00263D7B">
              <w:rPr>
                <w:rStyle w:val="CharStyle7"/>
                <w:color w:val="auto"/>
                <w:sz w:val="28"/>
                <w:szCs w:val="28"/>
              </w:rPr>
              <w:t xml:space="preserve">в условиях глобальной экономики, 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>достижени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ю</w:t>
            </w:r>
            <w:r w:rsidR="00924066" w:rsidRPr="00263D7B">
              <w:rPr>
                <w:rStyle w:val="CharStyle7"/>
                <w:color w:val="auto"/>
                <w:sz w:val="28"/>
                <w:szCs w:val="28"/>
              </w:rPr>
              <w:t xml:space="preserve"> технологического суверенитета национальных экономик государств-членов</w:t>
            </w:r>
            <w:r w:rsidR="000A0D3B" w:rsidRPr="00263D7B">
              <w:rPr>
                <w:rStyle w:val="CharStyle7"/>
                <w:color w:val="auto"/>
                <w:sz w:val="28"/>
                <w:szCs w:val="28"/>
              </w:rPr>
              <w:t>.</w:t>
            </w:r>
          </w:p>
          <w:p w:rsidR="00EF48A9" w:rsidRPr="0035149B" w:rsidRDefault="00EF48A9" w:rsidP="00BF3F49">
            <w:pPr>
              <w:pStyle w:val="HTML"/>
              <w:shd w:val="clear" w:color="auto" w:fill="FFFFF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8375D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3. Группа лиц, на защиту интересов которых направлен проект решения ЕЭК</w:t>
            </w:r>
            <w:r w:rsidR="00EE4ABB" w:rsidRPr="0035149B">
              <w:rPr>
                <w:rFonts w:eastAsia="Calibri"/>
                <w:b/>
                <w:sz w:val="28"/>
                <w:szCs w:val="28"/>
              </w:rPr>
              <w:t>: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Научные, научно-исследовательские, исследовательские организации, осуществляющие выполнение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сотрудничестве с представителями других государств-членов.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Субъекты предпринимательской деятельности (по сферам согласно приложению 1 к проекту решения), осуществляющие реализацию инновационных проектов с участием представителей других государств-членов.</w:t>
            </w:r>
          </w:p>
          <w:p w:rsidR="00EF48A9" w:rsidRPr="0035149B" w:rsidRDefault="00EF48A9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4. Адресаты регулирования, в том числе субъекты</w:t>
            </w:r>
            <w:r w:rsidR="00724BA0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>предпринимательской деятельности, и воздействие, оказываемое на них регулированием</w:t>
            </w:r>
            <w:r w:rsidRPr="0035149B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52344" w:rsidRPr="00263D7B" w:rsidRDefault="00052344" w:rsidP="00052344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Субъекты предпринимательской деятельности (по сферам согласно приложению 1 к проекту решения); институты развития, фонды финансирования исследований и разработок, национальные органы государств-членов, уполномоченные на осуществление государственной политики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области научно-технического развития в соответствующих сферах экономики. </w:t>
            </w:r>
          </w:p>
          <w:p w:rsidR="00EF48A9" w:rsidRPr="00263D7B" w:rsidRDefault="0005234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lastRenderedPageBreak/>
              <w:t xml:space="preserve">Не ожидается негативного воздействия на адресатов регулирования,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так как проект решения несет координирующую роль путем определения общих интересов в проведении совместных научно-исследовательских работ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реализации совместных инновационных проектов в рамках ЕАЭС, определяет общие подходы к </w:t>
            </w:r>
            <w:r w:rsidR="00077547">
              <w:rPr>
                <w:sz w:val="28"/>
                <w:szCs w:val="28"/>
                <w:u w:val="single"/>
              </w:rPr>
              <w:t>определению критериев</w:t>
            </w:r>
            <w:r w:rsidRPr="00263D7B">
              <w:rPr>
                <w:sz w:val="28"/>
                <w:szCs w:val="28"/>
                <w:u w:val="single"/>
              </w:rPr>
              <w:t xml:space="preserve"> в оценке совместных научно-исследовательских работ и реализации совместных инновационных проектов</w:t>
            </w:r>
            <w:r w:rsidR="00077547">
              <w:rPr>
                <w:sz w:val="28"/>
                <w:szCs w:val="28"/>
                <w:u w:val="single"/>
              </w:rPr>
              <w:t xml:space="preserve"> с учетом интеграционного фактора</w:t>
            </w:r>
            <w:r w:rsidRPr="00263D7B">
              <w:rPr>
                <w:sz w:val="28"/>
                <w:szCs w:val="28"/>
                <w:u w:val="single"/>
              </w:rPr>
              <w:t>.</w:t>
            </w:r>
          </w:p>
          <w:p w:rsidR="00052344" w:rsidRPr="0035149B" w:rsidRDefault="00052344" w:rsidP="00F1299A">
            <w:pPr>
              <w:ind w:right="-57" w:firstLine="709"/>
              <w:jc w:val="both"/>
              <w:rPr>
                <w:sz w:val="28"/>
                <w:szCs w:val="28"/>
              </w:rPr>
            </w:pPr>
          </w:p>
        </w:tc>
      </w:tr>
      <w:tr w:rsidR="00F218B3" w:rsidRPr="002B1578" w:rsidTr="00E17C32">
        <w:tc>
          <w:tcPr>
            <w:tcW w:w="9853" w:type="dxa"/>
          </w:tcPr>
          <w:p w:rsidR="00675AA8" w:rsidRPr="002B1578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bCs/>
                <w:sz w:val="28"/>
                <w:szCs w:val="28"/>
                <w:u w:val="single"/>
              </w:rPr>
            </w:pPr>
            <w:r w:rsidRPr="002B1578">
              <w:rPr>
                <w:rFonts w:eastAsia="Calibri"/>
                <w:b/>
                <w:bCs/>
                <w:sz w:val="28"/>
                <w:szCs w:val="28"/>
              </w:rPr>
              <w:lastRenderedPageBreak/>
              <w:t>5. Содержание устанавливаемых для адресатов регулирования ограничений (обязательных правил поведения)</w:t>
            </w:r>
            <w:r w:rsidR="00675AA8" w:rsidRPr="002B1578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EF48A9" w:rsidRPr="002B1578" w:rsidRDefault="00EF48A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Проектом решения определены </w:t>
            </w:r>
            <w:r w:rsidR="00BF6FDF" w:rsidRPr="002B1578">
              <w:rPr>
                <w:sz w:val="28"/>
                <w:szCs w:val="28"/>
                <w:u w:val="single"/>
              </w:rPr>
              <w:t>сферы</w:t>
            </w:r>
            <w:r w:rsidRPr="002B1578">
              <w:rPr>
                <w:sz w:val="28"/>
                <w:szCs w:val="28"/>
                <w:u w:val="single"/>
              </w:rPr>
              <w:t>, предоставляющи</w:t>
            </w:r>
            <w:r w:rsidR="00BF6FDF" w:rsidRPr="002B1578">
              <w:rPr>
                <w:sz w:val="28"/>
                <w:szCs w:val="28"/>
                <w:u w:val="single"/>
              </w:rPr>
              <w:t>е</w:t>
            </w:r>
            <w:r w:rsidRPr="002B1578">
              <w:rPr>
                <w:sz w:val="28"/>
                <w:szCs w:val="28"/>
                <w:u w:val="single"/>
              </w:rPr>
              <w:t xml:space="preserve"> взаимный интерес</w:t>
            </w:r>
            <w:r w:rsidR="00BF6FDF" w:rsidRPr="002B1578">
              <w:rPr>
                <w:sz w:val="28"/>
                <w:szCs w:val="28"/>
                <w:u w:val="single"/>
              </w:rPr>
              <w:t xml:space="preserve">, для организации </w:t>
            </w:r>
            <w:r w:rsidR="0065698F" w:rsidRPr="002B1578">
              <w:rPr>
                <w:sz w:val="28"/>
                <w:szCs w:val="28"/>
                <w:u w:val="single"/>
              </w:rPr>
              <w:t xml:space="preserve">в Союзе </w:t>
            </w:r>
            <w:r w:rsidR="00BF6FDF" w:rsidRPr="002B1578">
              <w:rPr>
                <w:sz w:val="28"/>
                <w:szCs w:val="28"/>
                <w:u w:val="single"/>
              </w:rPr>
              <w:t xml:space="preserve">совместных исследований и реализации совместных проектов, а также критерии организации этих исследований </w:t>
            </w:r>
            <w:r w:rsidR="0065698F" w:rsidRPr="002B1578">
              <w:rPr>
                <w:sz w:val="28"/>
                <w:szCs w:val="28"/>
                <w:u w:val="single"/>
              </w:rPr>
              <w:br/>
            </w:r>
            <w:r w:rsidR="00BF6FDF" w:rsidRPr="002B1578">
              <w:rPr>
                <w:sz w:val="28"/>
                <w:szCs w:val="28"/>
                <w:u w:val="single"/>
              </w:rPr>
              <w:t>и проектов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F54B88" w:rsidRPr="002B1578" w:rsidRDefault="00EF7B68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Проект решения не накладывает </w:t>
            </w:r>
            <w:r w:rsidR="00C66B29" w:rsidRPr="002B1578">
              <w:rPr>
                <w:sz w:val="28"/>
                <w:szCs w:val="28"/>
                <w:u w:val="single"/>
              </w:rPr>
              <w:t xml:space="preserve">дополнительных </w:t>
            </w:r>
            <w:r w:rsidRPr="002B1578">
              <w:rPr>
                <w:sz w:val="28"/>
                <w:szCs w:val="28"/>
                <w:u w:val="single"/>
              </w:rPr>
              <w:t xml:space="preserve">ограничений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на условия ведения предпринимательской деятельности, поскольку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не предусматривает введение новых обязанностей, ограничений </w:t>
            </w:r>
            <w:r w:rsidR="00D5099D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 (или) запретов либо изменение содержания существующих обязанностей, ограничений и (или) запретов, порядка их исполнения, непосредственно адресованных субъектам п</w:t>
            </w:r>
            <w:r w:rsidR="006264A5" w:rsidRPr="002B1578">
              <w:rPr>
                <w:sz w:val="28"/>
                <w:szCs w:val="28"/>
                <w:u w:val="single"/>
              </w:rPr>
              <w:t>редпринимательской дея</w:t>
            </w:r>
            <w:r w:rsidR="00742CA6" w:rsidRPr="002B1578">
              <w:rPr>
                <w:sz w:val="28"/>
                <w:szCs w:val="28"/>
                <w:u w:val="single"/>
              </w:rPr>
              <w:t>тельности</w:t>
            </w:r>
            <w:r w:rsidR="00D5099D" w:rsidRPr="002B1578">
              <w:rPr>
                <w:sz w:val="28"/>
                <w:szCs w:val="28"/>
                <w:u w:val="single"/>
              </w:rPr>
              <w:t>.</w:t>
            </w:r>
          </w:p>
          <w:p w:rsidR="00EC016B" w:rsidRPr="002B1578" w:rsidRDefault="00EC016B" w:rsidP="00EC016B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По каждой сфере даны уточнения отдельных направлений, в которых одновременно может быть взаимный интерес государств-членов в проведении как совместных исследований, так и реализации совместных проектов. </w:t>
            </w:r>
          </w:p>
          <w:p w:rsidR="00EC016B" w:rsidRPr="002B1578" w:rsidRDefault="00EC016B" w:rsidP="00EC016B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Сферы взаимного интереса определены и уточнены исходя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из следующего: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положений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Договора о ЕАЭС от 29 мая 2014 г. – промышленность, </w:t>
            </w:r>
            <w:r w:rsidR="00376982" w:rsidRPr="002B1578">
              <w:rPr>
                <w:sz w:val="28"/>
                <w:szCs w:val="28"/>
                <w:u w:val="single"/>
              </w:rPr>
              <w:t xml:space="preserve">агропромышленный комплекс (далее – </w:t>
            </w:r>
            <w:r w:rsidRPr="002B1578">
              <w:rPr>
                <w:sz w:val="28"/>
                <w:szCs w:val="28"/>
                <w:u w:val="single"/>
              </w:rPr>
              <w:t>АПК</w:t>
            </w:r>
            <w:r w:rsidR="00376982" w:rsidRPr="002B1578">
              <w:rPr>
                <w:sz w:val="28"/>
                <w:szCs w:val="28"/>
                <w:u w:val="single"/>
              </w:rPr>
              <w:t>)</w:t>
            </w:r>
            <w:r w:rsidRPr="002B1578">
              <w:rPr>
                <w:sz w:val="28"/>
                <w:szCs w:val="28"/>
                <w:u w:val="single"/>
              </w:rPr>
              <w:t xml:space="preserve">, энергетика, транспорт;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Декларации о дальнейшем развитии экономических процессов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в рамках ЕАЭС до 2030 года и на период до 2045 года «Евразийский экономический путь» – цифровые услуги, цифровая инфраструктура; искусственный интеллект, повышение энергетической эффективности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развитие возобновляемой энергетики; «умные»,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энергоэффективные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технологии; «бесшовные» технологии перевозок;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Стратегических направлений развития евразийской экономической интеграции до 2025 года (утв. решением ВЕЭС от 11.12.2020 №12) – ресурсосберегающие технологии; энергосбережение,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возобновляемые источники энергии и охрана окружающей среды (п. 8.3.6 (1,2), 8.3.2, 8.3.1 (1));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7"/>
              </w:numPr>
              <w:ind w:left="0" w:firstLine="743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актов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органов Союза, в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.: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рекомендация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24.06.2022 № 26 «О приоритетах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долгосрочном прогнозе научно-технического развития Евразийского экономического союза» – 6 приоритетов: ИКТ; биотехнологии, фармакология и медицина; перспективные технологии машиностроения и применение цифровых платформенных решений для организации производства;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>производство новых материалов и топлива; новые технологии в сельском хозяйстве;</w:t>
            </w:r>
            <w:r w:rsidR="00095316" w:rsidRPr="002B1578">
              <w:rPr>
                <w:sz w:val="28"/>
                <w:szCs w:val="28"/>
                <w:u w:val="single"/>
              </w:rPr>
              <w:t xml:space="preserve"> технологии добывающих отраслей</w:t>
            </w:r>
            <w:r w:rsidRPr="002B1578">
              <w:rPr>
                <w:sz w:val="28"/>
                <w:szCs w:val="28"/>
                <w:u w:val="single"/>
              </w:rPr>
              <w:t xml:space="preserve">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рекомендация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28.02.2017 № 5 «О перечне приоритетных направлений сотрудничества государств – членов Евразийского экономического союза в целях ускорения технологической модернизации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повышения инновационной активности организаций государств-членов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с учетом прикладных и фундаментальных исследований, проводимых государствами-членами» – 19 направлений в сфере промышленности;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распоряжение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Коллегии ЕЭК от 15.12.2020 № 176 о Перечне совместных научно-исследовательских и опытно-конструкторских работ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в сфере агропромышленного комплекса государств – членов Евразийского экономического союза на 2021-2025 годы – 27 тематик по 5 направлениям АПК;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решение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ВЕЭС от 11.10.2017 № 12 «Об Основных направлениях реализации цифровой повестки Евразийского экономического союза до 2025 года» – 4 направления цифровой трансформации</w:t>
            </w:r>
            <w:r w:rsidR="00961E96" w:rsidRPr="002B1578">
              <w:rPr>
                <w:sz w:val="28"/>
                <w:szCs w:val="28"/>
                <w:u w:val="single"/>
              </w:rPr>
              <w:t>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8"/>
              </w:numPr>
              <w:ind w:left="34" w:firstLine="709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национальных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документов государств-членов, определяющих научно-техническую политику на будущие периоды, и приоритетов, озвученных в ходе заседаний ВЕЭС и ЕМПС в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.:</w:t>
            </w:r>
          </w:p>
          <w:p w:rsidR="00EC016B" w:rsidRPr="002B1578" w:rsidRDefault="00EC016B" w:rsidP="00961E96">
            <w:pPr>
              <w:ind w:left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Армения: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выступление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Н.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Пашиняна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на расширенной части заседания ВЕЭС 25.12.2023 – внедрение цифровых технологий, цифровая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прослеживаемость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товаров и грузов, применение искусственного интеллекта;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Беларусь: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Указ Президента Республики Беларусь от 07.05.2020 № 156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«О приоритетных направлениях научной, научно-технической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инновационной деятельности на 2021-2025 годы» – ИКТ; биологические, медицинские, фармацевтические и химические технологии и производства; энергетика, строительство, экология и рациональное природопользование; машиностроение, машиностроительные технологии, приборостроение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и инновационные материалы; агропромышленные и продовольственные технологии; обеспечение безопасности человека, общества и государства;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Республика Казахстан: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выступление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К.-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Ж.Токаева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на расширенной части заседания ВЕЭС 25.12.2023 – экосистема онлайн-торговли, технологическая кооперация, цифровые решения в сфере сельского хозяйства, новые технологии в АПК,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 искусственный интеллект;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34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Стратегический план развития Республики Казахстан до 2025 года (утв. Указом Президента Республики Казахстан от 15.02.2018 № 636): «зеленые» технологии, возобновляемая энергетика, энергосбережение,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интернет вещей, робототехника,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нанотехнологии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автономные транспортные средства; автоматизация 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рабочих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бизнес-процессов, развитие платформенных решений, облачные вычисления и аналитика данных, машинное обучение, профилактика заболеваний,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 xml:space="preserve">экологически чистая сельхозпродукция, обеспечение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кибербезопасности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цифровизация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образования;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Кыргызская Республика: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Прогноз социально-экономического развития Кыргызской Республики на 2023-2027 годы (утв. постановлением Кабинета Министров Кыргызской Республики 06.09.2022 № 484) – развитие цифровых платежных технологий, цифровые технологии и ресурсосберегающие технологии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в сельском хозяйстве, новые технологии в строительстве;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приоритеты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, озвученные А.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Жапаровым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в ходе ЕМПС 26.10.2023  – развитие «зеленой» экономики, возобновляемых источников энергии, поставки электромобилей и установки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электрозарядной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инфраструктуры; </w:t>
            </w:r>
          </w:p>
          <w:p w:rsidR="00EC016B" w:rsidRPr="002B1578" w:rsidRDefault="00EC016B" w:rsidP="00961E96">
            <w:pPr>
              <w:ind w:firstLine="743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Российская Федерация: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Прогноз научно-технологического развития Российской Федерации на период до 2030 года (утв. Председателем Правительства Российской Федерации 03.01.2014 № ДМ-П8-5) – 7 ключевых приоритетов развития науки и технологий в Российской Федерации: ИКТ, биотехнологии, медицина и здравоохранение, новые материалы и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нанотехнологии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, рациональное природопользование, транспортные и космические системы, 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энергоэффективность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 и энергосбережение;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Программа фундаментальных научных исследований в Российской Федерации на долгосрочный период 2021 - 2030 годы (утв. Распоряжением Правительства РФ от 31.12.2020 №3684-р) – 6 областей естественных наук,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>6 областей естественных наук, 4 области медицинских наук, 4 области сельскохозяйственных наук.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9"/>
              </w:numPr>
              <w:ind w:left="0" w:firstLine="743"/>
              <w:rPr>
                <w:sz w:val="28"/>
                <w:szCs w:val="28"/>
                <w:u w:val="single"/>
              </w:rPr>
            </w:pPr>
            <w:proofErr w:type="gramStart"/>
            <w:r w:rsidRPr="002B1578">
              <w:rPr>
                <w:sz w:val="28"/>
                <w:szCs w:val="28"/>
                <w:u w:val="single"/>
              </w:rPr>
              <w:t>доклад</w:t>
            </w:r>
            <w:r w:rsidR="00961E96" w:rsidRPr="002B1578">
              <w:rPr>
                <w:sz w:val="28"/>
                <w:szCs w:val="28"/>
                <w:u w:val="single"/>
              </w:rPr>
              <w:t>ов</w:t>
            </w:r>
            <w:proofErr w:type="gramEnd"/>
            <w:r w:rsidRPr="002B1578">
              <w:rPr>
                <w:sz w:val="28"/>
                <w:szCs w:val="28"/>
                <w:u w:val="single"/>
              </w:rPr>
              <w:t xml:space="preserve"> Комиссии: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Доклад о приоритетах и долгосрочном прогнозе научно-технического развития Евразийского экономического союза. Департамент макроэкономической политики, 2022 г. (доступен по адресу: </w:t>
            </w:r>
            <w:hyperlink r:id="rId8" w:history="1">
              <w:r w:rsidRPr="002B1578">
                <w:rPr>
                  <w:rStyle w:val="af8"/>
                  <w:sz w:val="28"/>
                  <w:szCs w:val="28"/>
                </w:rPr>
                <w:t>https://eec.eaeunion.org/upload/clcr/doklad_8.2.1.pdf</w:t>
              </w:r>
            </w:hyperlink>
            <w:r w:rsidRPr="002B1578">
              <w:rPr>
                <w:sz w:val="28"/>
                <w:szCs w:val="28"/>
                <w:u w:val="single"/>
              </w:rPr>
              <w:t>);</w:t>
            </w:r>
          </w:p>
          <w:p w:rsidR="00EC016B" w:rsidRPr="002B1578" w:rsidRDefault="00EC016B" w:rsidP="00376982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Мониторинг технологических разработок инновационных компаний и внедрение современных методов технологического прогнозирования в целях информационного обеспечения развития экономик государств-членов на передовой технологической основе. Департамент макроэкономической политики, 2022 г. (доступен по адресу: </w:t>
            </w:r>
            <w:hyperlink r:id="rId9" w:history="1">
              <w:r w:rsidR="00376982" w:rsidRPr="002B1578">
                <w:rPr>
                  <w:rStyle w:val="af8"/>
                  <w:sz w:val="28"/>
                  <w:szCs w:val="28"/>
                </w:rPr>
                <w:t>https://eec.eaeunion.org/upload/medialibrary/5b7/1.1.3-Doklad-forsayt-_8.1.3-_1_.pdf</w:t>
              </w:r>
            </w:hyperlink>
            <w:r w:rsidRPr="002B1578">
              <w:rPr>
                <w:sz w:val="28"/>
                <w:szCs w:val="28"/>
                <w:u w:val="single"/>
              </w:rPr>
              <w:t>);</w:t>
            </w:r>
          </w:p>
          <w:p w:rsidR="00EC016B" w:rsidRPr="002B1578" w:rsidRDefault="00EC016B" w:rsidP="00376982">
            <w:pPr>
              <w:pStyle w:val="a4"/>
              <w:numPr>
                <w:ilvl w:val="0"/>
                <w:numId w:val="12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Обзор технологий будущего: глобальные технологические тренды. Департамент промышленной политики, 2014-2016 гг. (доступен по адресу: </w:t>
            </w:r>
            <w:hyperlink r:id="rId10" w:history="1">
              <w:r w:rsidRPr="002B1578">
                <w:rPr>
                  <w:rStyle w:val="af8"/>
                  <w:sz w:val="28"/>
                  <w:szCs w:val="28"/>
                </w:rPr>
                <w:t>https://eec.eaeunion.org/upload/medialibrary/30a/obzor-tehnologii-budushego.pdf</w:t>
              </w:r>
            </w:hyperlink>
            <w:r w:rsidRPr="002B1578">
              <w:rPr>
                <w:sz w:val="28"/>
                <w:szCs w:val="28"/>
                <w:u w:val="single"/>
              </w:rPr>
              <w:t>)</w:t>
            </w:r>
            <w:r w:rsidR="00961E96" w:rsidRPr="002B1578">
              <w:rPr>
                <w:sz w:val="28"/>
                <w:szCs w:val="28"/>
                <w:u w:val="single"/>
              </w:rPr>
              <w:t>;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C016B" w:rsidRPr="002B1578" w:rsidRDefault="00EC016B" w:rsidP="00961E96">
            <w:pPr>
              <w:pStyle w:val="a4"/>
              <w:numPr>
                <w:ilvl w:val="0"/>
                <w:numId w:val="20"/>
              </w:numPr>
              <w:ind w:left="0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результат</w:t>
            </w:r>
            <w:r w:rsidR="00961E96" w:rsidRPr="002B1578">
              <w:rPr>
                <w:sz w:val="28"/>
                <w:szCs w:val="28"/>
                <w:u w:val="single"/>
              </w:rPr>
              <w:t>ов</w:t>
            </w:r>
            <w:r w:rsidRPr="002B1578">
              <w:rPr>
                <w:sz w:val="28"/>
                <w:szCs w:val="28"/>
                <w:u w:val="single"/>
              </w:rPr>
              <w:t xml:space="preserve"> научно-исследовательской работы «Оценка макроэкономического потенциала выпуска продукции в Евразийском экономическом союзе и анализ перспективных направлений формирования цепочек добавленной стоимости в целях повышения потенциала выпуска </w:t>
            </w:r>
            <w:r w:rsidR="00376982" w:rsidRPr="002B1578">
              <w:rPr>
                <w:sz w:val="28"/>
                <w:szCs w:val="28"/>
                <w:u w:val="single"/>
              </w:rPr>
              <w:br/>
            </w:r>
            <w:r w:rsidRPr="002B1578">
              <w:rPr>
                <w:sz w:val="28"/>
                <w:szCs w:val="28"/>
                <w:u w:val="single"/>
              </w:rPr>
              <w:t xml:space="preserve">и обеспечения условий для научно-технологического прорыва Союза», </w:t>
            </w:r>
            <w:r w:rsidRPr="002B1578">
              <w:rPr>
                <w:sz w:val="28"/>
                <w:szCs w:val="28"/>
                <w:u w:val="single"/>
              </w:rPr>
              <w:lastRenderedPageBreak/>
              <w:t xml:space="preserve">выполненной в 2020-2021 гг. для нужд Комиссии (доступна по адресу: </w:t>
            </w:r>
            <w:hyperlink r:id="rId11" w:history="1">
              <w:r w:rsidR="00961E96" w:rsidRPr="002B1578">
                <w:rPr>
                  <w:rStyle w:val="af8"/>
                  <w:sz w:val="28"/>
                  <w:szCs w:val="28"/>
                </w:rPr>
                <w:t>https://eec.eaeunion.org/upload/medialibrary/d34/NIR_macro.pdf</w:t>
              </w:r>
            </w:hyperlink>
            <w:r w:rsidRPr="002B1578">
              <w:rPr>
                <w:sz w:val="28"/>
                <w:szCs w:val="28"/>
                <w:u w:val="single"/>
              </w:rPr>
              <w:t xml:space="preserve">). </w:t>
            </w:r>
          </w:p>
          <w:p w:rsidR="005C7D90" w:rsidRPr="002B1578" w:rsidRDefault="005C7D90" w:rsidP="00EC016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Содержание предусматриваемых проектом решения обязательных правил поведения, которые налагаются на адресатов регулирования</w:t>
            </w:r>
            <w:r w:rsidR="005824A4" w:rsidRPr="002B1578">
              <w:rPr>
                <w:sz w:val="28"/>
                <w:szCs w:val="28"/>
                <w:u w:val="single"/>
              </w:rPr>
              <w:t>: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2B1578" w:rsidRDefault="00E027D1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«Область исследований</w:t>
            </w:r>
            <w:r w:rsidR="00111E1E" w:rsidRPr="002B1578">
              <w:rPr>
                <w:sz w:val="28"/>
                <w:szCs w:val="28"/>
                <w:u w:val="single"/>
              </w:rPr>
              <w:t>»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F31BE3" w:rsidRPr="002B1578">
              <w:rPr>
                <w:sz w:val="28"/>
                <w:szCs w:val="28"/>
                <w:u w:val="single"/>
              </w:rPr>
              <w:t>отражает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t xml:space="preserve">соответствие сферы исследования </w:t>
            </w:r>
            <w:r w:rsidRPr="002B1578">
              <w:rPr>
                <w:sz w:val="28"/>
                <w:szCs w:val="28"/>
                <w:u w:val="single"/>
              </w:rPr>
              <w:t>приоритетным сферам и направлениям сотрудничества государств – членов</w:t>
            </w:r>
            <w:r w:rsidR="009A7F09" w:rsidRPr="002B1578">
              <w:rPr>
                <w:sz w:val="28"/>
                <w:szCs w:val="28"/>
                <w:u w:val="single"/>
              </w:rPr>
              <w:t xml:space="preserve"> (</w:t>
            </w:r>
            <w:r w:rsidR="00111E1E" w:rsidRPr="002B1578">
              <w:rPr>
                <w:sz w:val="28"/>
                <w:szCs w:val="28"/>
                <w:u w:val="single"/>
              </w:rPr>
              <w:t>согласно</w:t>
            </w:r>
            <w:r w:rsidR="00ED2FA2" w:rsidRPr="002B1578">
              <w:rPr>
                <w:sz w:val="28"/>
                <w:szCs w:val="28"/>
                <w:u w:val="single"/>
              </w:rPr>
              <w:t xml:space="preserve"> </w:t>
            </w:r>
            <w:r w:rsidR="009A7F09" w:rsidRPr="002B1578">
              <w:rPr>
                <w:sz w:val="28"/>
                <w:szCs w:val="28"/>
                <w:u w:val="single"/>
              </w:rPr>
              <w:t>приложени</w:t>
            </w:r>
            <w:r w:rsidR="00111E1E" w:rsidRPr="002B1578">
              <w:rPr>
                <w:sz w:val="28"/>
                <w:szCs w:val="28"/>
                <w:u w:val="single"/>
              </w:rPr>
              <w:t>ю</w:t>
            </w:r>
            <w:r w:rsidR="009A7F09" w:rsidRPr="002B1578">
              <w:rPr>
                <w:sz w:val="28"/>
                <w:szCs w:val="28"/>
                <w:u w:val="single"/>
              </w:rPr>
              <w:t xml:space="preserve"> </w:t>
            </w:r>
            <w:r w:rsidR="00111E1E" w:rsidRPr="002B1578">
              <w:rPr>
                <w:sz w:val="28"/>
                <w:szCs w:val="28"/>
                <w:u w:val="single"/>
              </w:rPr>
              <w:t xml:space="preserve">№ </w:t>
            </w:r>
            <w:r w:rsidR="009A7F09" w:rsidRPr="002B1578">
              <w:rPr>
                <w:sz w:val="28"/>
                <w:szCs w:val="28"/>
                <w:u w:val="single"/>
              </w:rPr>
              <w:t>1 к проекту решения)</w:t>
            </w:r>
            <w:r w:rsidR="00514443" w:rsidRPr="002B1578">
              <w:rPr>
                <w:sz w:val="28"/>
                <w:szCs w:val="28"/>
                <w:u w:val="single"/>
              </w:rPr>
              <w:t>.</w:t>
            </w:r>
          </w:p>
          <w:p w:rsidR="00514443" w:rsidRPr="002B1578" w:rsidRDefault="00B508C4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«Задачи исследования» сформулирован исходя из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задач, выполнение которых должно </w:t>
            </w:r>
            <w:r w:rsidR="0013738B" w:rsidRPr="002B1578">
              <w:rPr>
                <w:sz w:val="28"/>
                <w:szCs w:val="28"/>
                <w:u w:val="single"/>
              </w:rPr>
              <w:t>способствовать достижению цел</w:t>
            </w:r>
            <w:r w:rsidR="00D24F60" w:rsidRPr="002B1578">
              <w:rPr>
                <w:sz w:val="28"/>
                <w:szCs w:val="28"/>
                <w:u w:val="single"/>
              </w:rPr>
              <w:t>и, указанной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</w:t>
            </w:r>
            <w:r w:rsidR="0013738B" w:rsidRPr="002B1578">
              <w:rPr>
                <w:sz w:val="28"/>
                <w:szCs w:val="28"/>
                <w:u w:val="single"/>
              </w:rPr>
              <w:br/>
            </w:r>
            <w:r w:rsidR="00514443" w:rsidRPr="002B1578">
              <w:rPr>
                <w:sz w:val="28"/>
                <w:szCs w:val="28"/>
                <w:u w:val="single"/>
              </w:rPr>
              <w:t xml:space="preserve">в п. </w:t>
            </w:r>
            <w:r w:rsidR="0013738B" w:rsidRPr="002B1578">
              <w:rPr>
                <w:sz w:val="28"/>
                <w:szCs w:val="28"/>
                <w:u w:val="single"/>
              </w:rPr>
              <w:t>2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настоящей справки</w:t>
            </w:r>
            <w:r w:rsidR="00D24F60" w:rsidRPr="002B1578">
              <w:rPr>
                <w:sz w:val="28"/>
                <w:szCs w:val="28"/>
                <w:u w:val="single"/>
              </w:rPr>
              <w:t>,</w:t>
            </w:r>
            <w:r w:rsidR="00514443" w:rsidRPr="002B1578">
              <w:rPr>
                <w:sz w:val="28"/>
                <w:szCs w:val="28"/>
                <w:u w:val="single"/>
              </w:rPr>
              <w:t xml:space="preserve"> для организации совместных исследований.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</w:t>
            </w:r>
          </w:p>
          <w:p w:rsidR="00E027D1" w:rsidRPr="002B1578" w:rsidRDefault="00514443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«Количество участников»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(пункт</w:t>
            </w:r>
            <w:r w:rsidRPr="002B1578">
              <w:rPr>
                <w:sz w:val="28"/>
                <w:szCs w:val="28"/>
                <w:u w:val="single"/>
              </w:rPr>
              <w:t xml:space="preserve"> 3 приложения № 2 и пункт 2 приложения № 3) выбран </w:t>
            </w:r>
            <w:r w:rsidR="004C58D9" w:rsidRPr="002B1578">
              <w:rPr>
                <w:sz w:val="28"/>
                <w:szCs w:val="28"/>
                <w:u w:val="single"/>
              </w:rPr>
              <w:t>исходя из</w:t>
            </w:r>
            <w:r w:rsidRPr="002B1578">
              <w:rPr>
                <w:sz w:val="28"/>
                <w:szCs w:val="28"/>
                <w:u w:val="single"/>
              </w:rPr>
              <w:t xml:space="preserve"> минимально</w:t>
            </w:r>
            <w:r w:rsidR="004C58D9" w:rsidRPr="002B1578">
              <w:rPr>
                <w:sz w:val="28"/>
                <w:szCs w:val="28"/>
                <w:u w:val="single"/>
              </w:rPr>
              <w:t>го</w:t>
            </w:r>
            <w:r w:rsidRPr="002B1578">
              <w:rPr>
                <w:sz w:val="28"/>
                <w:szCs w:val="28"/>
                <w:u w:val="single"/>
              </w:rPr>
              <w:t xml:space="preserve"> количеств</w:t>
            </w:r>
            <w:r w:rsidR="004C58D9" w:rsidRPr="002B1578">
              <w:rPr>
                <w:sz w:val="28"/>
                <w:szCs w:val="28"/>
                <w:u w:val="single"/>
              </w:rPr>
              <w:t>а</w:t>
            </w:r>
            <w:r w:rsidRPr="002B1578">
              <w:rPr>
                <w:sz w:val="28"/>
                <w:szCs w:val="28"/>
                <w:u w:val="single"/>
              </w:rPr>
              <w:t xml:space="preserve"> участников </w:t>
            </w:r>
            <w:r w:rsidRPr="002B1578">
              <w:rPr>
                <w:sz w:val="28"/>
                <w:szCs w:val="28"/>
                <w:u w:val="single"/>
              </w:rPr>
              <w:br/>
              <w:t>для совместных исследований/проектов.</w:t>
            </w:r>
          </w:p>
          <w:p w:rsidR="0013738B" w:rsidRPr="002B1578" w:rsidRDefault="0013738B" w:rsidP="0013738B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</w:t>
            </w:r>
            <w:r w:rsidR="00493E77" w:rsidRPr="002B1578">
              <w:rPr>
                <w:sz w:val="28"/>
                <w:szCs w:val="28"/>
                <w:u w:val="single"/>
              </w:rPr>
              <w:t xml:space="preserve">«Квалификация участников» </w:t>
            </w:r>
            <w:r w:rsidR="00586599" w:rsidRPr="002B1578">
              <w:rPr>
                <w:sz w:val="28"/>
                <w:szCs w:val="28"/>
                <w:u w:val="single"/>
              </w:rPr>
              <w:t xml:space="preserve">позволяет оценить </w:t>
            </w:r>
            <w:r w:rsidR="00595B50" w:rsidRPr="002B1578">
              <w:rPr>
                <w:sz w:val="28"/>
                <w:szCs w:val="28"/>
                <w:u w:val="single"/>
              </w:rPr>
              <w:t xml:space="preserve">уровень подготовки кадрового состава и </w:t>
            </w:r>
            <w:r w:rsidR="00586599" w:rsidRPr="002B1578">
              <w:rPr>
                <w:sz w:val="28"/>
                <w:szCs w:val="28"/>
                <w:u w:val="single"/>
              </w:rPr>
              <w:t>организации</w:t>
            </w:r>
            <w:r w:rsidR="00595B50" w:rsidRPr="002B1578">
              <w:rPr>
                <w:sz w:val="28"/>
                <w:szCs w:val="28"/>
                <w:u w:val="single"/>
              </w:rPr>
              <w:t xml:space="preserve"> к осуществлению научной (научно-исследовательской), научно-технической деятельности и экспериментальных разработок</w:t>
            </w:r>
            <w:r w:rsidR="00D24F60" w:rsidRPr="002B1578">
              <w:rPr>
                <w:sz w:val="28"/>
                <w:szCs w:val="28"/>
                <w:u w:val="single"/>
              </w:rPr>
              <w:t>.</w:t>
            </w:r>
          </w:p>
          <w:p w:rsidR="00C4750E" w:rsidRPr="002B1578" w:rsidRDefault="00924066" w:rsidP="00ED2FA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«К</w:t>
            </w:r>
            <w:r w:rsidR="001A7208" w:rsidRPr="002B1578">
              <w:rPr>
                <w:sz w:val="28"/>
                <w:szCs w:val="28"/>
                <w:u w:val="single"/>
              </w:rPr>
              <w:t>адровый потенциал</w:t>
            </w:r>
            <w:r w:rsidR="00ED2FA2" w:rsidRPr="002B1578">
              <w:rPr>
                <w:sz w:val="28"/>
                <w:szCs w:val="28"/>
                <w:u w:val="single"/>
              </w:rPr>
              <w:t>»</w:t>
            </w:r>
            <w:r w:rsidR="001A7208"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t>применен для привлечения к участию</w:t>
            </w:r>
            <w:r w:rsidR="001A7208" w:rsidRPr="002B1578">
              <w:rPr>
                <w:sz w:val="28"/>
                <w:szCs w:val="28"/>
                <w:u w:val="single"/>
              </w:rPr>
              <w:t xml:space="preserve"> </w:t>
            </w:r>
            <w:r w:rsidR="00ED2FA2" w:rsidRPr="002B1578">
              <w:rPr>
                <w:sz w:val="28"/>
                <w:szCs w:val="28"/>
                <w:u w:val="single"/>
              </w:rPr>
              <w:br/>
            </w:r>
            <w:r w:rsidR="001A7208" w:rsidRPr="002B1578">
              <w:rPr>
                <w:sz w:val="28"/>
                <w:szCs w:val="28"/>
                <w:u w:val="single"/>
              </w:rPr>
              <w:t>в совместн</w:t>
            </w:r>
            <w:r w:rsidR="00ED2FA2" w:rsidRPr="002B1578">
              <w:rPr>
                <w:sz w:val="28"/>
                <w:szCs w:val="28"/>
                <w:u w:val="single"/>
              </w:rPr>
              <w:t>ых исследованиях молодых ученых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с целью содействия увеличению численности исследовательских кадров в ЕАЭС</w:t>
            </w:r>
            <w:r w:rsidR="00ED2FA2" w:rsidRPr="002B1578">
              <w:rPr>
                <w:sz w:val="28"/>
                <w:szCs w:val="28"/>
                <w:u w:val="single"/>
              </w:rPr>
              <w:t>.</w:t>
            </w:r>
          </w:p>
          <w:p w:rsidR="004C4F5A" w:rsidRPr="002B1578" w:rsidRDefault="0010636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</w:t>
            </w:r>
            <w:r w:rsidR="00D3480F" w:rsidRPr="002B1578">
              <w:rPr>
                <w:sz w:val="28"/>
                <w:szCs w:val="28"/>
                <w:u w:val="single"/>
              </w:rPr>
              <w:t>Срок реализации –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</w:t>
            </w:r>
            <w:r w:rsidR="00D3480F" w:rsidRPr="002B1578">
              <w:rPr>
                <w:sz w:val="28"/>
                <w:szCs w:val="28"/>
                <w:u w:val="single"/>
              </w:rPr>
              <w:t>не более</w:t>
            </w:r>
            <w:r w:rsidR="00742CA6" w:rsidRPr="002B1578">
              <w:rPr>
                <w:sz w:val="28"/>
                <w:szCs w:val="28"/>
                <w:u w:val="single"/>
              </w:rPr>
              <w:t xml:space="preserve"> </w:t>
            </w:r>
            <w:r w:rsidR="00D3480F" w:rsidRPr="002B1578">
              <w:rPr>
                <w:sz w:val="28"/>
                <w:szCs w:val="28"/>
                <w:u w:val="single"/>
              </w:rPr>
              <w:t>5 лет</w:t>
            </w:r>
            <w:r w:rsidRPr="002B1578">
              <w:rPr>
                <w:sz w:val="28"/>
                <w:szCs w:val="28"/>
                <w:u w:val="single"/>
              </w:rPr>
              <w:t>»</w:t>
            </w:r>
            <w:r w:rsidR="00D3480F" w:rsidRPr="002B1578">
              <w:rPr>
                <w:sz w:val="28"/>
                <w:szCs w:val="28"/>
                <w:u w:val="single"/>
              </w:rPr>
              <w:t xml:space="preserve"> (п. 6 </w:t>
            </w:r>
            <w:r w:rsidR="00742CA6" w:rsidRPr="002B1578">
              <w:rPr>
                <w:sz w:val="28"/>
                <w:szCs w:val="28"/>
                <w:u w:val="single"/>
              </w:rPr>
              <w:t>п</w:t>
            </w:r>
            <w:r w:rsidR="00D3480F" w:rsidRPr="002B1578">
              <w:rPr>
                <w:sz w:val="28"/>
                <w:szCs w:val="28"/>
                <w:u w:val="single"/>
              </w:rPr>
              <w:t xml:space="preserve">риложения № 2 </w:t>
            </w:r>
            <w:r w:rsidR="00263D7B" w:rsidRPr="002B1578">
              <w:rPr>
                <w:sz w:val="28"/>
                <w:szCs w:val="28"/>
                <w:u w:val="single"/>
              </w:rPr>
              <w:br/>
            </w:r>
            <w:r w:rsidR="00D3480F" w:rsidRPr="002B1578">
              <w:rPr>
                <w:sz w:val="28"/>
                <w:szCs w:val="28"/>
                <w:u w:val="single"/>
              </w:rPr>
              <w:t xml:space="preserve">и пункт 8 приложения № 3 к проекту решения) </w:t>
            </w:r>
            <w:r w:rsidR="00187AC4" w:rsidRPr="002B1578">
              <w:rPr>
                <w:sz w:val="28"/>
                <w:szCs w:val="28"/>
                <w:u w:val="single"/>
              </w:rPr>
              <w:t>определен</w:t>
            </w:r>
            <w:r w:rsidR="00D3480F" w:rsidRPr="002B1578">
              <w:rPr>
                <w:sz w:val="28"/>
                <w:szCs w:val="28"/>
                <w:u w:val="single"/>
              </w:rPr>
              <w:t xml:space="preserve"> по аналогии </w:t>
            </w:r>
            <w:r w:rsidR="00263D7B" w:rsidRPr="002B1578">
              <w:rPr>
                <w:sz w:val="28"/>
                <w:szCs w:val="28"/>
                <w:u w:val="single"/>
              </w:rPr>
              <w:br/>
            </w:r>
            <w:r w:rsidR="00D3480F" w:rsidRPr="002B1578">
              <w:rPr>
                <w:sz w:val="28"/>
                <w:szCs w:val="28"/>
                <w:u w:val="single"/>
              </w:rPr>
              <w:t xml:space="preserve">с </w:t>
            </w:r>
            <w:r w:rsidR="004C4F5A" w:rsidRPr="002B1578">
              <w:rPr>
                <w:sz w:val="28"/>
                <w:szCs w:val="28"/>
                <w:u w:val="single"/>
              </w:rPr>
              <w:t xml:space="preserve">действующими </w:t>
            </w:r>
            <w:r w:rsidR="00742CA6" w:rsidRPr="002B1578">
              <w:rPr>
                <w:sz w:val="28"/>
                <w:szCs w:val="28"/>
                <w:u w:val="single"/>
              </w:rPr>
              <w:t>документами</w:t>
            </w:r>
            <w:r w:rsidR="004C4F5A" w:rsidRPr="002B1578">
              <w:rPr>
                <w:sz w:val="28"/>
                <w:szCs w:val="28"/>
                <w:u w:val="single"/>
              </w:rPr>
              <w:t xml:space="preserve"> Союза: </w:t>
            </w:r>
          </w:p>
          <w:p w:rsidR="004C4F5A" w:rsidRPr="002B1578" w:rsidRDefault="00D3480F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Положени</w:t>
            </w:r>
            <w:r w:rsidR="00F23ED1" w:rsidRPr="002B1578">
              <w:rPr>
                <w:sz w:val="28"/>
                <w:szCs w:val="28"/>
                <w:u w:val="single"/>
              </w:rPr>
              <w:t>е</w:t>
            </w:r>
            <w:r w:rsidRPr="002B1578">
              <w:rPr>
                <w:sz w:val="28"/>
                <w:szCs w:val="28"/>
                <w:u w:val="single"/>
              </w:rPr>
      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ЕАЭС, утвержденного </w:t>
            </w:r>
            <w:r w:rsidR="004561CC" w:rsidRPr="002B1578">
              <w:rPr>
                <w:sz w:val="28"/>
                <w:szCs w:val="28"/>
                <w:u w:val="single"/>
              </w:rPr>
              <w:t>Р</w:t>
            </w:r>
            <w:r w:rsidRPr="002B1578">
              <w:rPr>
                <w:sz w:val="28"/>
                <w:szCs w:val="28"/>
                <w:u w:val="single"/>
              </w:rPr>
              <w:t xml:space="preserve">ешением </w:t>
            </w:r>
            <w:r w:rsidR="0058271D" w:rsidRPr="002B1578">
              <w:rPr>
                <w:sz w:val="28"/>
                <w:szCs w:val="28"/>
                <w:u w:val="single"/>
              </w:rPr>
              <w:t xml:space="preserve">Евразийского межправительственного совета (далее – </w:t>
            </w:r>
            <w:r w:rsidRPr="002B1578">
              <w:rPr>
                <w:sz w:val="28"/>
                <w:szCs w:val="28"/>
                <w:u w:val="single"/>
              </w:rPr>
              <w:t>ЕМПС</w:t>
            </w:r>
            <w:r w:rsidR="0058271D" w:rsidRPr="002B1578">
              <w:rPr>
                <w:sz w:val="28"/>
                <w:szCs w:val="28"/>
                <w:u w:val="single"/>
              </w:rPr>
              <w:t>)</w:t>
            </w:r>
            <w:r w:rsidRPr="002B1578">
              <w:rPr>
                <w:sz w:val="28"/>
                <w:szCs w:val="28"/>
                <w:u w:val="single"/>
              </w:rPr>
              <w:t xml:space="preserve"> от </w:t>
            </w:r>
            <w:r w:rsidR="00106366" w:rsidRPr="002B1578">
              <w:rPr>
                <w:sz w:val="28"/>
                <w:szCs w:val="28"/>
                <w:u w:val="single"/>
              </w:rPr>
              <w:t>26 октября</w:t>
            </w:r>
            <w:r w:rsidRPr="002B1578">
              <w:rPr>
                <w:sz w:val="28"/>
                <w:szCs w:val="28"/>
                <w:u w:val="single"/>
              </w:rPr>
              <w:t xml:space="preserve"> 2023 г.</w:t>
            </w:r>
            <w:r w:rsidR="00B126F9" w:rsidRPr="002B1578">
              <w:rPr>
                <w:sz w:val="28"/>
                <w:szCs w:val="28"/>
                <w:u w:val="single"/>
              </w:rPr>
              <w:t xml:space="preserve"> № 3</w:t>
            </w:r>
            <w:r w:rsidR="00F23ED1" w:rsidRPr="002B1578">
              <w:rPr>
                <w:sz w:val="28"/>
                <w:szCs w:val="28"/>
                <w:u w:val="single"/>
              </w:rPr>
              <w:t xml:space="preserve"> (подпункт г) пункта 4)</w:t>
            </w:r>
            <w:r w:rsidR="004C4F5A" w:rsidRPr="002B1578">
              <w:rPr>
                <w:sz w:val="28"/>
                <w:szCs w:val="28"/>
                <w:u w:val="single"/>
              </w:rPr>
              <w:t>;</w:t>
            </w:r>
          </w:p>
          <w:p w:rsidR="0025779F" w:rsidRPr="002B1578" w:rsidRDefault="0058271D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Поряд</w:t>
            </w:r>
            <w:r w:rsidR="00F23ED1" w:rsidRPr="002B1578">
              <w:rPr>
                <w:sz w:val="28"/>
                <w:szCs w:val="28"/>
                <w:u w:val="single"/>
              </w:rPr>
              <w:t>ок</w:t>
            </w:r>
            <w:r w:rsidRPr="002B1578">
              <w:rPr>
                <w:sz w:val="28"/>
                <w:szCs w:val="28"/>
                <w:u w:val="single"/>
              </w:rPr>
              <w:t xml:space="preserve"> организации совместных научно-исследовательских и опытно-конструкторских работ в сфере агропромышленного комплекса </w:t>
            </w:r>
            <w:r w:rsidR="00021CB0" w:rsidRPr="002B1578">
              <w:rPr>
                <w:sz w:val="28"/>
                <w:szCs w:val="28"/>
                <w:u w:val="single"/>
              </w:rPr>
              <w:t xml:space="preserve">(АПК) </w:t>
            </w:r>
            <w:r w:rsidRPr="002B1578">
              <w:rPr>
                <w:sz w:val="28"/>
                <w:szCs w:val="28"/>
                <w:u w:val="single"/>
              </w:rPr>
              <w:t>государств – членов ЕАЭС, утвержденного Решением ЕМПС от 26 мая 2017 г. №1</w:t>
            </w:r>
            <w:r w:rsidR="00F23ED1" w:rsidRPr="002B1578">
              <w:rPr>
                <w:sz w:val="28"/>
                <w:szCs w:val="28"/>
                <w:u w:val="single"/>
              </w:rPr>
              <w:t xml:space="preserve"> (пункт 6)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586599" w:rsidRPr="002B1578" w:rsidRDefault="00586599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«Интеграционная направленность» </w:t>
            </w:r>
            <w:r w:rsidR="00F31BE3" w:rsidRPr="002B1578">
              <w:rPr>
                <w:sz w:val="28"/>
                <w:szCs w:val="28"/>
                <w:u w:val="single"/>
              </w:rPr>
              <w:t>отражает</w:t>
            </w:r>
            <w:r w:rsidR="00263D7B" w:rsidRPr="002B1578">
              <w:rPr>
                <w:sz w:val="28"/>
                <w:szCs w:val="28"/>
                <w:u w:val="single"/>
              </w:rPr>
              <w:t xml:space="preserve"> </w:t>
            </w:r>
            <w:r w:rsidR="004C58D9" w:rsidRPr="002B1578">
              <w:rPr>
                <w:sz w:val="28"/>
                <w:szCs w:val="28"/>
                <w:u w:val="single"/>
              </w:rPr>
              <w:t>цели проекта, которые способствуют достижению целей</w:t>
            </w:r>
            <w:r w:rsidR="00D24F60" w:rsidRPr="002B1578">
              <w:rPr>
                <w:sz w:val="28"/>
                <w:szCs w:val="28"/>
                <w:u w:val="single"/>
              </w:rPr>
              <w:t xml:space="preserve"> Союза, прежде всего, установленной </w:t>
            </w:r>
            <w:proofErr w:type="spellStart"/>
            <w:r w:rsidR="00D24F60" w:rsidRPr="002B1578">
              <w:rPr>
                <w:sz w:val="28"/>
                <w:szCs w:val="28"/>
                <w:u w:val="single"/>
              </w:rPr>
              <w:t>абз</w:t>
            </w:r>
            <w:proofErr w:type="spellEnd"/>
            <w:r w:rsidR="00D24F60" w:rsidRPr="002B1578">
              <w:rPr>
                <w:sz w:val="28"/>
                <w:szCs w:val="28"/>
                <w:u w:val="single"/>
              </w:rPr>
              <w:t>. 4 ст. 4 Договора о ЕАЭС от 29 мая 2014 года.</w:t>
            </w:r>
          </w:p>
          <w:p w:rsidR="00111E1E" w:rsidRPr="002B1578" w:rsidRDefault="00263D7B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 xml:space="preserve">Критерий «Локализация» </w:t>
            </w:r>
            <w:r w:rsidR="00111E1E" w:rsidRPr="002B1578">
              <w:rPr>
                <w:sz w:val="28"/>
                <w:szCs w:val="28"/>
                <w:u w:val="single"/>
              </w:rPr>
              <w:t>о</w:t>
            </w:r>
            <w:r w:rsidR="00170AD6" w:rsidRPr="002B1578">
              <w:rPr>
                <w:sz w:val="28"/>
                <w:szCs w:val="28"/>
                <w:u w:val="single"/>
              </w:rPr>
              <w:t>пределяет</w:t>
            </w:r>
            <w:r w:rsidR="00111E1E" w:rsidRPr="002B1578">
              <w:rPr>
                <w:sz w:val="28"/>
                <w:szCs w:val="28"/>
                <w:u w:val="single"/>
              </w:rPr>
              <w:t xml:space="preserve"> территорию</w:t>
            </w:r>
            <w:r w:rsidR="00170AD6" w:rsidRPr="002B1578">
              <w:rPr>
                <w:sz w:val="28"/>
                <w:szCs w:val="28"/>
                <w:u w:val="single"/>
              </w:rPr>
              <w:t xml:space="preserve"> реализации проекта – </w:t>
            </w:r>
            <w:r w:rsidR="00170AD6" w:rsidRPr="002B1578">
              <w:rPr>
                <w:sz w:val="28"/>
                <w:szCs w:val="28"/>
                <w:u w:val="single"/>
              </w:rPr>
              <w:br/>
            </w:r>
            <w:r w:rsidR="00111E1E" w:rsidRPr="002B1578">
              <w:rPr>
                <w:sz w:val="28"/>
                <w:szCs w:val="28"/>
                <w:u w:val="single"/>
              </w:rPr>
              <w:t>в рамках единого экономического пространства Союза.</w:t>
            </w:r>
          </w:p>
          <w:p w:rsidR="00111E1E" w:rsidRPr="002B1578" w:rsidRDefault="00111E1E" w:rsidP="00111E1E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Критерий «Масштабируемость» определ</w:t>
            </w:r>
            <w:r w:rsidR="00170AD6" w:rsidRPr="002B1578">
              <w:rPr>
                <w:sz w:val="28"/>
                <w:szCs w:val="28"/>
                <w:u w:val="single"/>
              </w:rPr>
              <w:t>ят потенциальную возможность перспективного развития проекта</w:t>
            </w:r>
            <w:r w:rsidR="00D24F60" w:rsidRPr="002B1578">
              <w:rPr>
                <w:sz w:val="28"/>
                <w:szCs w:val="28"/>
                <w:u w:val="single"/>
              </w:rPr>
              <w:t>, его реализации в других государствах-членах, не представленных изначально в проекте</w:t>
            </w:r>
            <w:r w:rsidRPr="002B1578">
              <w:rPr>
                <w:sz w:val="28"/>
                <w:szCs w:val="28"/>
                <w:u w:val="single"/>
              </w:rPr>
              <w:t>.</w:t>
            </w:r>
          </w:p>
          <w:p w:rsidR="00263D7B" w:rsidRPr="002B1578" w:rsidRDefault="00170AD6" w:rsidP="00F1299A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t>Критерии «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Инновационность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>, технологичность и эффективность», «</w:t>
            </w:r>
            <w:proofErr w:type="spellStart"/>
            <w:r w:rsidRPr="002B1578">
              <w:rPr>
                <w:sz w:val="28"/>
                <w:szCs w:val="28"/>
                <w:u w:val="single"/>
              </w:rPr>
              <w:t>Импортозамещение</w:t>
            </w:r>
            <w:proofErr w:type="spellEnd"/>
            <w:r w:rsidRPr="002B1578">
              <w:rPr>
                <w:sz w:val="28"/>
                <w:szCs w:val="28"/>
                <w:u w:val="single"/>
              </w:rPr>
              <w:t xml:space="preserve">», </w:t>
            </w:r>
            <w:r w:rsidR="00680C00" w:rsidRPr="002B1578">
              <w:rPr>
                <w:sz w:val="28"/>
                <w:szCs w:val="28"/>
                <w:u w:val="single"/>
              </w:rPr>
              <w:t>определяют соответствующую направленность совместных проектов</w:t>
            </w:r>
            <w:r w:rsidR="00F81000" w:rsidRPr="002B1578">
              <w:rPr>
                <w:sz w:val="28"/>
                <w:szCs w:val="28"/>
                <w:u w:val="single"/>
              </w:rPr>
              <w:t xml:space="preserve">, использование </w:t>
            </w:r>
            <w:r w:rsidR="00FD58FB" w:rsidRPr="002B1578">
              <w:rPr>
                <w:sz w:val="28"/>
                <w:szCs w:val="28"/>
                <w:u w:val="single"/>
              </w:rPr>
              <w:t xml:space="preserve">объектов </w:t>
            </w:r>
            <w:r w:rsidR="00F81000" w:rsidRPr="002B1578">
              <w:rPr>
                <w:sz w:val="28"/>
                <w:szCs w:val="28"/>
                <w:u w:val="single"/>
              </w:rPr>
              <w:t>интеллектуально</w:t>
            </w:r>
            <w:r w:rsidR="00FD58FB" w:rsidRPr="002B1578">
              <w:rPr>
                <w:sz w:val="28"/>
                <w:szCs w:val="28"/>
                <w:u w:val="single"/>
              </w:rPr>
              <w:t>й</w:t>
            </w:r>
            <w:r w:rsidR="00F81000" w:rsidRPr="002B1578">
              <w:rPr>
                <w:sz w:val="28"/>
                <w:szCs w:val="28"/>
                <w:u w:val="single"/>
              </w:rPr>
              <w:t xml:space="preserve"> собственности, технологический характер проекта</w:t>
            </w:r>
            <w:r w:rsidR="00680C00" w:rsidRPr="002B1578">
              <w:rPr>
                <w:sz w:val="28"/>
                <w:szCs w:val="28"/>
                <w:u w:val="single"/>
              </w:rPr>
              <w:t>.</w:t>
            </w:r>
          </w:p>
          <w:p w:rsidR="00EF48A9" w:rsidRPr="002B1578" w:rsidRDefault="00F31BE3" w:rsidP="007D1393">
            <w:pPr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B1578">
              <w:rPr>
                <w:sz w:val="28"/>
                <w:szCs w:val="28"/>
                <w:u w:val="single"/>
              </w:rPr>
              <w:lastRenderedPageBreak/>
              <w:t xml:space="preserve">Критерий «Экономические и социальные эффекты» </w:t>
            </w:r>
            <w:r w:rsidR="007D1393" w:rsidRPr="002B1578">
              <w:rPr>
                <w:sz w:val="28"/>
                <w:szCs w:val="28"/>
                <w:u w:val="single"/>
              </w:rPr>
              <w:t>отража</w:t>
            </w:r>
            <w:r w:rsidRPr="002B1578">
              <w:rPr>
                <w:sz w:val="28"/>
                <w:szCs w:val="28"/>
                <w:u w:val="single"/>
              </w:rPr>
              <w:t>ет</w:t>
            </w:r>
            <w:r w:rsidR="007D1393" w:rsidRPr="002B1578">
              <w:rPr>
                <w:sz w:val="28"/>
                <w:szCs w:val="28"/>
                <w:u w:val="single"/>
              </w:rPr>
              <w:t xml:space="preserve"> потенциальные экономические и социальные эффекты реализации совместного проекта</w:t>
            </w:r>
            <w:r w:rsidRPr="002B1578">
              <w:rPr>
                <w:sz w:val="28"/>
                <w:szCs w:val="28"/>
                <w:u w:val="single"/>
              </w:rPr>
              <w:t xml:space="preserve"> </w:t>
            </w:r>
            <w:r w:rsidR="00F81000" w:rsidRPr="002B1578">
              <w:rPr>
                <w:sz w:val="28"/>
                <w:szCs w:val="28"/>
                <w:u w:val="single"/>
              </w:rPr>
              <w:t>для Союза.</w:t>
            </w:r>
          </w:p>
          <w:p w:rsidR="00F31BE3" w:rsidRPr="002B1578" w:rsidRDefault="00F31BE3" w:rsidP="00695EA1">
            <w:pPr>
              <w:ind w:right="-57"/>
              <w:rPr>
                <w:sz w:val="28"/>
                <w:szCs w:val="28"/>
              </w:rPr>
            </w:pPr>
          </w:p>
        </w:tc>
      </w:tr>
      <w:tr w:rsidR="00F218B3" w:rsidRPr="00F218B3" w:rsidTr="00E17C32">
        <w:tc>
          <w:tcPr>
            <w:tcW w:w="9853" w:type="dxa"/>
          </w:tcPr>
          <w:p w:rsidR="00F218B3" w:rsidRPr="00420AAC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20AAC">
              <w:rPr>
                <w:rFonts w:eastAsia="Calibri"/>
                <w:b/>
                <w:sz w:val="28"/>
                <w:szCs w:val="28"/>
              </w:rPr>
              <w:lastRenderedPageBreak/>
              <w:t>6. 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</w:t>
            </w:r>
            <w:r w:rsidR="008A3A41" w:rsidRPr="0035149B">
              <w:rPr>
                <w:rFonts w:eastAsia="Calibri"/>
                <w:b/>
                <w:sz w:val="28"/>
                <w:szCs w:val="28"/>
              </w:rPr>
              <w:t>п</w:t>
            </w:r>
            <w:r w:rsidRPr="0035149B">
              <w:rPr>
                <w:rFonts w:eastAsia="Calibri"/>
                <w:b/>
                <w:sz w:val="28"/>
                <w:szCs w:val="28"/>
              </w:rPr>
              <w:t>редусмотренный проектом решения ЕЭК (описание взаимосвязи между предлагаемым регулированием и решаемой проблемой)</w:t>
            </w:r>
            <w:r w:rsidRPr="00420AAC">
              <w:rPr>
                <w:rFonts w:eastAsia="Calibri"/>
                <w:b/>
                <w:sz w:val="28"/>
                <w:szCs w:val="28"/>
              </w:rPr>
              <w:t> </w:t>
            </w:r>
          </w:p>
          <w:p w:rsidR="007B469C" w:rsidRPr="00263D7B" w:rsidRDefault="00A13E1A" w:rsidP="00A13E1A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По результатам анализа стратегических национальных документов государств-членов возможно выделить</w:t>
            </w:r>
            <w:r w:rsidR="007B469C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следующие </w:t>
            </w:r>
            <w:r w:rsidR="00FB1A6D" w:rsidRPr="00263D7B">
              <w:rPr>
                <w:sz w:val="28"/>
                <w:szCs w:val="28"/>
                <w:u w:val="single"/>
              </w:rPr>
              <w:t xml:space="preserve">противоречивые </w:t>
            </w:r>
            <w:r w:rsidRPr="00263D7B">
              <w:rPr>
                <w:sz w:val="28"/>
                <w:szCs w:val="28"/>
                <w:u w:val="single"/>
              </w:rPr>
              <w:t>тенденции</w:t>
            </w:r>
            <w:r w:rsidR="007B469C" w:rsidRPr="00263D7B">
              <w:rPr>
                <w:sz w:val="28"/>
                <w:szCs w:val="28"/>
                <w:u w:val="single"/>
              </w:rPr>
              <w:t>, имеющее отношение к научно-технологическому развитию и модернизации экономик: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расхождение приоритетов экономического и научно-технологического развития, сложившееся в силу действия целого ряда причин: «замкнутая» непосредственно на мировые рынки технологий инновационная система, слабые связи между научно-технологическими и производственными комплексами, выстраивание приоритетов в сфере научной политики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«от традиционной специализации», отсутствие должной концентрации ресурсов на приоритетных для экономик направлениях;</w:t>
            </w:r>
          </w:p>
          <w:p w:rsidR="007B469C" w:rsidRPr="00263D7B" w:rsidRDefault="007B469C" w:rsidP="00A13E1A">
            <w:pPr>
              <w:tabs>
                <w:tab w:val="left" w:pos="5460"/>
              </w:tabs>
              <w:ind w:right="-57"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необходимость нового (не связанного с экспортом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энергосырьевых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 товаров) позиционирования на мировых рынках, что отражается </w:t>
            </w:r>
            <w:r w:rsidR="00A13E1A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в несоответствии между фактически сложившимися сильными сторонами экономик государств-членов и стратегическими приоритетами,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зафиксированными в документах долгосрочного стратегического планирования. </w:t>
            </w:r>
          </w:p>
          <w:p w:rsidR="007B469C" w:rsidRPr="00263D7B" w:rsidRDefault="007B469C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Для закрепления и максимально возможного удержания конкурентных преимуществ в техническом развитии экономики применяются стандарты, считающиеся барьерами в международной торговле. Страны и корпорации, которые имеют возможность задавать мировые стандарты, формируют соответствующие технологические траектории, получая </w:t>
            </w:r>
            <w:r w:rsidR="00535AF2" w:rsidRPr="00263D7B">
              <w:rPr>
                <w:sz w:val="28"/>
                <w:szCs w:val="28"/>
                <w:u w:val="single"/>
              </w:rPr>
              <w:t>весо</w:t>
            </w:r>
            <w:r w:rsidRPr="00263D7B">
              <w:rPr>
                <w:sz w:val="28"/>
                <w:szCs w:val="28"/>
                <w:u w:val="single"/>
              </w:rPr>
              <w:t xml:space="preserve">мые конкурентные преимущества. </w:t>
            </w:r>
          </w:p>
          <w:p w:rsidR="007B469C" w:rsidRPr="00263D7B" w:rsidRDefault="00535AF2" w:rsidP="007B469C">
            <w:pPr>
              <w:tabs>
                <w:tab w:val="left" w:pos="5460"/>
              </w:tabs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Организация научно-технического сотрудничества</w:t>
            </w:r>
            <w:r w:rsidR="00A13E1A" w:rsidRPr="00263D7B">
              <w:rPr>
                <w:sz w:val="28"/>
                <w:szCs w:val="28"/>
                <w:u w:val="single"/>
              </w:rPr>
              <w:t xml:space="preserve"> государств-</w:t>
            </w:r>
            <w:r w:rsidR="007B469C" w:rsidRPr="00263D7B">
              <w:rPr>
                <w:sz w:val="28"/>
                <w:szCs w:val="28"/>
                <w:u w:val="single"/>
              </w:rPr>
              <w:t xml:space="preserve">членов </w:t>
            </w:r>
            <w:r w:rsidR="00FB1A6D" w:rsidRPr="00263D7B">
              <w:rPr>
                <w:sz w:val="28"/>
                <w:szCs w:val="28"/>
                <w:u w:val="single"/>
              </w:rPr>
              <w:br/>
              <w:t xml:space="preserve">на текущий момент </w:t>
            </w:r>
            <w:r w:rsidR="007B469C" w:rsidRPr="00263D7B">
              <w:rPr>
                <w:sz w:val="28"/>
                <w:szCs w:val="28"/>
                <w:u w:val="single"/>
              </w:rPr>
              <w:t>может состоять в координации аналитической работы, научно-технологическом прогнозировании и оценке перспектив сотрудничества</w:t>
            </w:r>
            <w:r w:rsidR="00FB1A6D" w:rsidRPr="00263D7B">
              <w:rPr>
                <w:sz w:val="28"/>
                <w:szCs w:val="28"/>
                <w:u w:val="single"/>
              </w:rPr>
              <w:t xml:space="preserve"> </w:t>
            </w:r>
            <w:r w:rsidR="007B469C" w:rsidRPr="00263D7B">
              <w:rPr>
                <w:sz w:val="28"/>
                <w:szCs w:val="28"/>
                <w:u w:val="single"/>
              </w:rPr>
              <w:t xml:space="preserve">в процессе внедрения новых технологий и формирования производственной кооперации, реализации совместных программ и проектов. </w:t>
            </w:r>
          </w:p>
          <w:p w:rsidR="00F76273" w:rsidRPr="00263D7B" w:rsidRDefault="00F76273" w:rsidP="00F76273">
            <w:pPr>
              <w:tabs>
                <w:tab w:val="left" w:pos="5460"/>
              </w:tabs>
              <w:ind w:right="-57" w:firstLine="709"/>
              <w:jc w:val="both"/>
              <w:rPr>
                <w:rStyle w:val="CharStyle7"/>
                <w:color w:val="auto"/>
                <w:sz w:val="28"/>
                <w:szCs w:val="28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В решении </w:t>
            </w:r>
            <w:r w:rsidRPr="00263D7B">
              <w:rPr>
                <w:sz w:val="28"/>
                <w:szCs w:val="28"/>
                <w:u w:val="single"/>
              </w:rPr>
              <w:t xml:space="preserve">проблемы повышения наукоемкости национальных экономик и инновационной активности хозяйствующих субъектов в государствах-членах, достижении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цели по стимулированию проведения совместных научно-исследовательских работ и реализации совместных инновационных проектов используется координирующий механизм. </w:t>
            </w:r>
            <w:r w:rsidRPr="00263D7B">
              <w:rPr>
                <w:sz w:val="28"/>
                <w:szCs w:val="28"/>
                <w:u w:val="single"/>
              </w:rPr>
              <w:t xml:space="preserve">Определяются сферы взаимного интереса и критерии организации исследовательских работ и инновационных проектов, которые могут учитываться заинтересованными хозяйствующими субъектами при кооперационном сотрудничестве в рамках ЕАЭС. Тем самым </w:t>
            </w:r>
            <w:r w:rsidRPr="00263D7B">
              <w:rPr>
                <w:sz w:val="28"/>
                <w:szCs w:val="28"/>
                <w:u w:val="single"/>
              </w:rPr>
              <w:lastRenderedPageBreak/>
              <w:t xml:space="preserve">обеспечивается </w:t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>создание благоприятных условий и предпосылок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t xml:space="preserve"> </w:t>
            </w:r>
            <w:r w:rsidR="00DB5150" w:rsidRPr="00263D7B">
              <w:rPr>
                <w:rStyle w:val="CharStyle7"/>
                <w:color w:val="auto"/>
                <w:sz w:val="28"/>
                <w:szCs w:val="28"/>
              </w:rPr>
              <w:br/>
            </w:r>
            <w:r w:rsidRPr="00263D7B">
              <w:rPr>
                <w:rStyle w:val="CharStyle7"/>
                <w:color w:val="auto"/>
                <w:sz w:val="28"/>
                <w:szCs w:val="28"/>
              </w:rPr>
              <w:t xml:space="preserve">для взаимовыгодной реализации возможностей государств-членов в научно-техническом и инновационном секторе. </w:t>
            </w:r>
          </w:p>
          <w:p w:rsidR="00F76273" w:rsidRPr="00263D7B" w:rsidRDefault="00F76273" w:rsidP="00F76273">
            <w:pPr>
              <w:pStyle w:val="HTML"/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rStyle w:val="CharStyle7"/>
                <w:color w:val="auto"/>
                <w:sz w:val="28"/>
                <w:szCs w:val="28"/>
              </w:rPr>
              <w:t>По итогам определения сфер взаимного интереса и критериев организации исследовательских работ и инновационных проектов осуществляется выработка предложений по организации совместных исследований и инновационных проектов в сферах, представляющих взаимный интерес. Данная работа осуществляется в рамках комплекса мер, предусмотренного стратегией развития Союза до 2025 года (раздел 8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12).</w:t>
            </w:r>
          </w:p>
          <w:p w:rsidR="0020057E" w:rsidRPr="00263D7B" w:rsidRDefault="0020057E" w:rsidP="00DA7482">
            <w:pPr>
              <w:ind w:left="-57" w:right="-57" w:firstLine="766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По мнению Департамента </w:t>
            </w:r>
            <w:r w:rsidR="00A87BC4" w:rsidRPr="00263D7B">
              <w:rPr>
                <w:sz w:val="28"/>
                <w:szCs w:val="28"/>
                <w:u w:val="single"/>
              </w:rPr>
              <w:t>макроэкономической политики,</w:t>
            </w:r>
            <w:r w:rsidRPr="00263D7B">
              <w:rPr>
                <w:sz w:val="28"/>
                <w:szCs w:val="28"/>
                <w:u w:val="single"/>
              </w:rPr>
              <w:t xml:space="preserve"> ответственного за подготовку проекта решения, принятие проекта решения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не создаст избыточных обязанностей, ограничений и (или) запретов </w:t>
            </w:r>
            <w:r w:rsidR="00A87BC4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>для субъектов предпринимательской деятельности, необоснованных расходов субъектов предпринимательской деятельности и барьеров</w:t>
            </w:r>
            <w:r w:rsidR="00F815CB" w:rsidRPr="00263D7B">
              <w:rPr>
                <w:sz w:val="28"/>
                <w:szCs w:val="28"/>
                <w:u w:val="single"/>
              </w:rPr>
              <w:t xml:space="preserve"> д</w:t>
            </w:r>
            <w:r w:rsidRPr="00263D7B">
              <w:rPr>
                <w:sz w:val="28"/>
                <w:szCs w:val="28"/>
                <w:u w:val="single"/>
              </w:rPr>
              <w:t xml:space="preserve">ля свободного движения товаров на территории </w:t>
            </w:r>
            <w:r w:rsidR="00391382" w:rsidRPr="00263D7B">
              <w:rPr>
                <w:sz w:val="28"/>
                <w:szCs w:val="28"/>
                <w:u w:val="single"/>
              </w:rPr>
              <w:t>ЕАЭС</w:t>
            </w:r>
            <w:r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2C03B3" w:rsidRPr="003149D3" w:rsidRDefault="002C03B3" w:rsidP="00391382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817E14" w:rsidRPr="0035149B" w:rsidRDefault="00F218B3" w:rsidP="000E1372">
            <w:pPr>
              <w:ind w:left="-57" w:right="-57" w:firstLine="80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</w:t>
            </w:r>
            <w:r w:rsidR="00E17C32" w:rsidRPr="0035149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149B">
              <w:rPr>
                <w:rFonts w:eastAsia="Calibri"/>
                <w:b/>
                <w:sz w:val="28"/>
                <w:szCs w:val="28"/>
              </w:rPr>
              <w:t xml:space="preserve">регулированию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Существует несколько альтернативных вариантов предлагаемому регулированию.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Первый подход – закрепление приоритетных сфер и критериев организации совместных исследований и реализации инновационных проектов в национальных документах государств-членов. Системы управления наукой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и инновациями в государствах-членах выстраиваются по-разному, поэтому уровень координации государств-членов </w:t>
            </w:r>
            <w:r w:rsidR="00021CB0" w:rsidRPr="00263D7B">
              <w:rPr>
                <w:sz w:val="28"/>
                <w:szCs w:val="28"/>
                <w:u w:val="single"/>
              </w:rPr>
              <w:t>при таком подходе будет</w:t>
            </w:r>
            <w:r w:rsidRPr="00263D7B">
              <w:rPr>
                <w:sz w:val="28"/>
                <w:szCs w:val="28"/>
                <w:u w:val="single"/>
              </w:rPr>
              <w:t xml:space="preserve"> низким</w:t>
            </w:r>
            <w:r w:rsidR="008E685E" w:rsidRPr="00263D7B">
              <w:rPr>
                <w:sz w:val="28"/>
                <w:szCs w:val="28"/>
                <w:u w:val="single"/>
              </w:rPr>
              <w:t>, соответственно</w:t>
            </w:r>
            <w:r w:rsidR="00DA7D66" w:rsidRPr="00263D7B">
              <w:rPr>
                <w:sz w:val="28"/>
                <w:szCs w:val="28"/>
                <w:u w:val="single"/>
              </w:rPr>
              <w:t>,</w:t>
            </w:r>
            <w:r w:rsidR="008E685E" w:rsidRPr="00263D7B">
              <w:rPr>
                <w:sz w:val="28"/>
                <w:szCs w:val="28"/>
                <w:u w:val="single"/>
              </w:rPr>
              <w:t xml:space="preserve"> вероятность достижения цели регулирования весьма низкая.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Второй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 инновационных проектов в отдельности по каждой из сфер полномочий, предусмотренных Договором о Евразийском экономическом союзе от 29 мая 2014 года (далее – Договор о ЕАЭС) и международными договорами в рамках Союза. Недостаток данного регулирования состоит в его фрагментарности</w:t>
            </w:r>
            <w:r w:rsidR="00BA5666" w:rsidRPr="00263D7B">
              <w:rPr>
                <w:sz w:val="28"/>
                <w:szCs w:val="28"/>
                <w:u w:val="single"/>
              </w:rPr>
              <w:t xml:space="preserve">,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невозможности </w:t>
            </w:r>
            <w:r w:rsidRPr="00263D7B">
              <w:rPr>
                <w:sz w:val="28"/>
                <w:szCs w:val="28"/>
                <w:u w:val="single"/>
              </w:rPr>
              <w:t>обеспеч</w:t>
            </w:r>
            <w:r w:rsidR="00021CB0" w:rsidRPr="00263D7B">
              <w:rPr>
                <w:sz w:val="28"/>
                <w:szCs w:val="28"/>
                <w:u w:val="single"/>
              </w:rPr>
              <w:t>ения</w:t>
            </w:r>
            <w:r w:rsidRPr="00263D7B">
              <w:rPr>
                <w:sz w:val="28"/>
                <w:szCs w:val="28"/>
                <w:u w:val="single"/>
              </w:rPr>
              <w:t xml:space="preserve"> одинаков</w:t>
            </w:r>
            <w:r w:rsidR="00021CB0" w:rsidRPr="00263D7B">
              <w:rPr>
                <w:sz w:val="28"/>
                <w:szCs w:val="28"/>
                <w:u w:val="single"/>
              </w:rPr>
              <w:t>ого</w:t>
            </w:r>
            <w:r w:rsidRPr="00263D7B">
              <w:rPr>
                <w:sz w:val="28"/>
                <w:szCs w:val="28"/>
                <w:u w:val="single"/>
              </w:rPr>
              <w:t xml:space="preserve"> уров</w:t>
            </w:r>
            <w:r w:rsidR="00021CB0" w:rsidRPr="00263D7B">
              <w:rPr>
                <w:sz w:val="28"/>
                <w:szCs w:val="28"/>
                <w:u w:val="single"/>
              </w:rPr>
              <w:t>ня интеграции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>по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  <w:r w:rsidR="00021CB0" w:rsidRPr="00263D7B">
              <w:rPr>
                <w:sz w:val="28"/>
                <w:szCs w:val="28"/>
                <w:u w:val="single"/>
              </w:rPr>
              <w:t xml:space="preserve">всем </w:t>
            </w:r>
            <w:r w:rsidRPr="00263D7B">
              <w:rPr>
                <w:sz w:val="28"/>
                <w:szCs w:val="28"/>
                <w:u w:val="single"/>
              </w:rPr>
              <w:t>сфер</w:t>
            </w:r>
            <w:r w:rsidR="00021CB0" w:rsidRPr="00263D7B">
              <w:rPr>
                <w:sz w:val="28"/>
                <w:szCs w:val="28"/>
                <w:u w:val="single"/>
              </w:rPr>
              <w:t>ам</w:t>
            </w:r>
            <w:r w:rsidRPr="00263D7B">
              <w:rPr>
                <w:sz w:val="28"/>
                <w:szCs w:val="28"/>
                <w:u w:val="single"/>
              </w:rPr>
              <w:t xml:space="preserve"> полномочий</w:t>
            </w:r>
            <w:r w:rsidR="00BA5666" w:rsidRPr="00263D7B">
              <w:rPr>
                <w:sz w:val="28"/>
                <w:szCs w:val="28"/>
                <w:u w:val="single"/>
              </w:rPr>
              <w:t>, предусмотренных Договором о ЕАЭС</w:t>
            </w:r>
            <w:r w:rsidR="00DA7D66" w:rsidRPr="00263D7B">
              <w:rPr>
                <w:sz w:val="28"/>
                <w:szCs w:val="28"/>
                <w:u w:val="single"/>
              </w:rPr>
              <w:t>, в связи с чем достижение цели регулирования возможно только по отдельным направлениям.</w:t>
            </w:r>
            <w:r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5B37A0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Третий подход состоит в определении сфер взаимного интереса </w:t>
            </w:r>
            <w:r w:rsidRPr="00263D7B">
              <w:rPr>
                <w:sz w:val="28"/>
                <w:szCs w:val="28"/>
                <w:u w:val="single"/>
              </w:rPr>
              <w:br/>
              <w:t>и критериев организации совместных исследований и реализации совместных</w:t>
            </w:r>
            <w:r>
              <w:rPr>
                <w:sz w:val="28"/>
                <w:szCs w:val="28"/>
              </w:rPr>
              <w:t xml:space="preserve"> </w:t>
            </w:r>
            <w:r w:rsidRPr="00263D7B">
              <w:rPr>
                <w:sz w:val="28"/>
                <w:szCs w:val="28"/>
                <w:u w:val="single"/>
              </w:rPr>
              <w:t xml:space="preserve">инновационных проектов в более комплексных документах. К примеру,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стратегической программы научно-технического развития Союза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долгосрочный период «рамочного» характера, работа по которой ведется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рамках реализации пункта 6.4.5 Стратегических направлений развития </w:t>
            </w:r>
            <w:r w:rsidRPr="00263D7B">
              <w:rPr>
                <w:sz w:val="28"/>
                <w:szCs w:val="28"/>
                <w:u w:val="single"/>
              </w:rPr>
              <w:lastRenderedPageBreak/>
              <w:t xml:space="preserve">евразийской экономической интеграции до 2025 года, либо в отдельном соглашении о научно-техническом сотрудничестве государств-членов. Недостаток данного подхода состоит </w:t>
            </w:r>
            <w:r w:rsidR="00AB1EBA" w:rsidRPr="00263D7B">
              <w:rPr>
                <w:sz w:val="28"/>
                <w:szCs w:val="28"/>
                <w:u w:val="single"/>
              </w:rPr>
              <w:t xml:space="preserve">в </w:t>
            </w:r>
            <w:r w:rsidRPr="00263D7B">
              <w:rPr>
                <w:sz w:val="28"/>
                <w:szCs w:val="28"/>
                <w:u w:val="single"/>
              </w:rPr>
              <w:t xml:space="preserve">более комплексном регулировании, выходящим за пределы поставленной цели регулирования (пункт 2 настоящей справки). Более того, на текущий момент не достигнут консенсус между государствами-членами по вопросу наделения ЕЭК полномочиями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сфере научно-технического сотрудничества, необходимыми для принятия такого рода комплексных документов. В этой связи, к примеру, продолжение работы по отдельному соглашению о научно-техническом сотрудничестве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не поддерживается (протокол совещания с государствами-членами </w:t>
            </w:r>
            <w:r w:rsidRPr="00263D7B">
              <w:rPr>
                <w:sz w:val="28"/>
                <w:szCs w:val="28"/>
                <w:u w:val="single"/>
              </w:rPr>
              <w:br/>
              <w:t>от 18 октября 2022 г. № 23-СГ).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Достижение цели регулирования весьма вероятно, но потребует значительного времени для достижения компромиссного решения.</w:t>
            </w:r>
          </w:p>
          <w:p w:rsidR="008E685E" w:rsidRPr="00263D7B" w:rsidRDefault="005B37A0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Четвертый подход состоит в изменении формы реализации мероприятий 1, 2 п. 8.2.3 плана мероприятий по реализации Стратегических направлений развития евразийской экономической интеграции до 2025 года «Определение критериев организации совместных исследований и инновационных проектов в сферах, предоставляющих взаимный интерес» с решения Коллегии ЕЭК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рекомендацию Коллегии ЕЭК. Недостаток данного подхода состоит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снижении значимости акта по данному вопросу, и аналогично на текущий момент между государствами-членами не достигнут консенсус </w:t>
            </w:r>
            <w:r w:rsidRPr="00263D7B">
              <w:rPr>
                <w:sz w:val="28"/>
                <w:szCs w:val="28"/>
                <w:u w:val="single"/>
              </w:rPr>
              <w:br/>
              <w:t>о целесообразности таких изменений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(протоколы совещаний с государствами-членами </w:t>
            </w:r>
            <w:r w:rsidR="00B4172F" w:rsidRPr="00263D7B">
              <w:rPr>
                <w:sz w:val="28"/>
                <w:szCs w:val="28"/>
                <w:u w:val="single"/>
              </w:rPr>
              <w:t xml:space="preserve">от 16 февраля </w:t>
            </w:r>
            <w:r w:rsidR="00AB1EBA" w:rsidRPr="00263D7B">
              <w:rPr>
                <w:sz w:val="28"/>
                <w:szCs w:val="28"/>
                <w:u w:val="single"/>
              </w:rPr>
              <w:t>2023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г.</w:t>
            </w:r>
            <w:r w:rsidR="00AB1EBA" w:rsidRPr="00263D7B">
              <w:rPr>
                <w:sz w:val="28"/>
                <w:szCs w:val="28"/>
                <w:u w:val="single"/>
              </w:rPr>
              <w:t xml:space="preserve"> № 07-3/</w:t>
            </w:r>
            <w:proofErr w:type="spellStart"/>
            <w:r w:rsidR="00AB1EBA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AB1EBA" w:rsidRPr="00263D7B">
              <w:rPr>
                <w:sz w:val="28"/>
                <w:szCs w:val="28"/>
                <w:u w:val="single"/>
              </w:rPr>
              <w:t>,</w:t>
            </w:r>
            <w:r w:rsidR="00B4172F" w:rsidRPr="00263D7B">
              <w:rPr>
                <w:sz w:val="28"/>
                <w:szCs w:val="28"/>
                <w:u w:val="single"/>
              </w:rPr>
              <w:t xml:space="preserve"> от 16 августа 2023 г. № 07-14/</w:t>
            </w:r>
            <w:proofErr w:type="spellStart"/>
            <w:r w:rsidR="00B4172F" w:rsidRPr="00263D7B">
              <w:rPr>
                <w:sz w:val="28"/>
                <w:szCs w:val="28"/>
                <w:u w:val="single"/>
              </w:rPr>
              <w:t>пр</w:t>
            </w:r>
            <w:proofErr w:type="spellEnd"/>
            <w:r w:rsidR="00B4172F"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sz w:val="28"/>
                <w:szCs w:val="28"/>
                <w:u w:val="single"/>
              </w:rPr>
              <w:t>.</w:t>
            </w:r>
            <w:r w:rsidR="00C756A4" w:rsidRPr="00263D7B">
              <w:rPr>
                <w:sz w:val="28"/>
                <w:szCs w:val="28"/>
                <w:u w:val="single"/>
              </w:rPr>
              <w:t xml:space="preserve"> Вероятность достижения цели регулирования невелика из-за снижения значимости акта и потребует дополнительного времени для достижения компромиссного решения.</w:t>
            </w:r>
          </w:p>
          <w:p w:rsidR="005B37A0" w:rsidRPr="00263D7B" w:rsidRDefault="008E685E" w:rsidP="005B37A0">
            <w:pPr>
              <w:ind w:right="-57"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Исходя из недостаточной эффективности первого и второго подходов </w:t>
            </w:r>
            <w:r w:rsidR="00DA7D66"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t xml:space="preserve">и отсутствия консенсуса государств-членов по третьему и четвертому подходам, на текущий момент </w:t>
            </w:r>
            <w:r w:rsidR="00DA7D66" w:rsidRPr="00263D7B">
              <w:rPr>
                <w:sz w:val="28"/>
                <w:szCs w:val="28"/>
                <w:u w:val="single"/>
              </w:rPr>
              <w:t>целесообразно</w:t>
            </w:r>
            <w:r w:rsidRPr="00263D7B">
              <w:rPr>
                <w:sz w:val="28"/>
                <w:szCs w:val="28"/>
                <w:u w:val="single"/>
              </w:rPr>
              <w:t xml:space="preserve"> реализовать предлагаемый</w:t>
            </w:r>
            <w:r w:rsidR="00DA7D66" w:rsidRPr="00263D7B">
              <w:rPr>
                <w:sz w:val="28"/>
                <w:szCs w:val="28"/>
                <w:u w:val="single"/>
              </w:rPr>
              <w:t xml:space="preserve"> вариант решения проблемы.</w:t>
            </w:r>
            <w:r w:rsidRPr="00263D7B">
              <w:rPr>
                <w:sz w:val="28"/>
                <w:szCs w:val="28"/>
                <w:u w:val="single"/>
              </w:rPr>
              <w:t xml:space="preserve">  </w:t>
            </w:r>
            <w:r w:rsidR="005B37A0" w:rsidRPr="00263D7B">
              <w:rPr>
                <w:sz w:val="28"/>
                <w:szCs w:val="28"/>
                <w:u w:val="single"/>
              </w:rPr>
              <w:t xml:space="preserve"> </w:t>
            </w:r>
          </w:p>
          <w:p w:rsidR="00C6775A" w:rsidRPr="0035149B" w:rsidRDefault="00C6775A" w:rsidP="003B59B7">
            <w:pPr>
              <w:ind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510991" w:rsidRPr="0035149B" w:rsidRDefault="00F218B3" w:rsidP="000E1372">
            <w:pPr>
              <w:ind w:right="-57" w:firstLine="74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8. Нормативно-правовое основание для принятия проекта решения ЕЭК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Проект решения Коллегии ЕЭК разработан в соответствии с пунктом 8.2.3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года № 12, с учетом формы реализации пункта 8.2.3 плана мероприятий</w:t>
            </w:r>
            <w:r w:rsidRPr="00263D7B">
              <w:rPr>
                <w:sz w:val="28"/>
                <w:szCs w:val="28"/>
                <w:u w:val="single"/>
              </w:rPr>
              <w:t xml:space="preserve"> по реализации Стратегических направлений развития евразийской экономической интеграции до 2025 года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, утвержденного распоряжением Совета ЕЭК от 5 апреля 2021 года № 4. 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Также основанием для принятия проекта решения Коллегии ЕЭК служит следующая нормативная и правовая основа: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положения статьи 4 Договора о ЕАЭС, в которой в качестве одной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 xml:space="preserve">из целей Союза отмечена в том числе всесторонняя модернизация, кооперация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и повышение конкурентоспособности национальных экономик в условиях глобальной экономики;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Решение Высшего Евразийского экономического совета от 16 октября 2015 года № 28, которым утверждены Основные направления экономического развития ЕАЭС до 2030 года, где в качестве одного из основных направлений определено инновационное развитие и модернизация экономик государств-членов (направление 3);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Декларация о дальнейшем развитии экономических процессов в рамках ЕАЭС до 2030 года и на период до 2045 года «Евразийский экономический путь», которой предусматривается формирование общего пространства кооперационного взаимодействия и сотрудничества в сфере технологического развития;</w:t>
            </w:r>
          </w:p>
          <w:p w:rsidR="00BA5666" w:rsidRPr="00263D7B" w:rsidRDefault="00BA5666" w:rsidP="00BA5666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отраслевая нормативная и правовая основа: подпункт 7 пункта 3 статьи 86, подпункт 1 пункта 2 статьи 89, подпункты 5, 7 пункта 4 и подпункт 2 пункта 9 статьи 92, подпункт 6 пункта 1 и подпункт 11 пункта 7 статьи 95 Договора 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br/>
              <w:t xml:space="preserve">о ЕАЭС, подпункт 1 пункта 2 Приложения № 27 к Договору о ЕАЭС. </w:t>
            </w:r>
          </w:p>
          <w:p w:rsidR="00B51E95" w:rsidRPr="0035149B" w:rsidRDefault="00B51E95" w:rsidP="00C6775A">
            <w:pPr>
              <w:ind w:right="-57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DE40D3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lastRenderedPageBreak/>
              <w:t xml:space="preserve">9. Сфера полномочий ЕЭК, к которой относится проект решения ЕЭК </w:t>
            </w:r>
          </w:p>
          <w:p w:rsidR="004E4D04" w:rsidRPr="00263D7B" w:rsidRDefault="004E4D04" w:rsidP="004E4D04">
            <w:pPr>
              <w:ind w:right="-57" w:firstLine="709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63D7B">
              <w:rPr>
                <w:color w:val="000000" w:themeColor="text1"/>
                <w:sz w:val="28"/>
                <w:szCs w:val="28"/>
                <w:u w:val="single"/>
              </w:rPr>
              <w:t>Макроэкономическая политика</w:t>
            </w:r>
            <w:r w:rsidR="0077350B" w:rsidRPr="00263D7B">
              <w:rPr>
                <w:color w:val="000000" w:themeColor="text1"/>
                <w:sz w:val="28"/>
                <w:szCs w:val="28"/>
                <w:u w:val="single"/>
              </w:rPr>
              <w:t xml:space="preserve"> (область общественных отношений – научно-техническое сотрудничество и инновационная деятельность)</w:t>
            </w:r>
            <w:r w:rsidRPr="00263D7B"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9C24B8" w:rsidRPr="0035149B" w:rsidRDefault="009C24B8" w:rsidP="00391382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290925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28589A" w:rsidRPr="00263D7B" w:rsidRDefault="0077350B" w:rsidP="003267E3">
            <w:pPr>
              <w:pStyle w:val="af2"/>
              <w:ind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Принятие проекта </w:t>
            </w:r>
            <w:r w:rsidR="004C45E0" w:rsidRPr="00263D7B">
              <w:rPr>
                <w:sz w:val="28"/>
                <w:szCs w:val="28"/>
                <w:u w:val="single"/>
              </w:rPr>
              <w:t>р</w:t>
            </w:r>
            <w:r w:rsidRPr="00263D7B">
              <w:rPr>
                <w:sz w:val="28"/>
                <w:szCs w:val="28"/>
                <w:u w:val="single"/>
              </w:rPr>
              <w:t xml:space="preserve">ешения не приведет к дополнительным расходам субъектов предпринимательской деятельности, </w:t>
            </w:r>
            <w:r w:rsidR="004C45E0" w:rsidRPr="00263D7B">
              <w:rPr>
                <w:sz w:val="28"/>
                <w:szCs w:val="28"/>
                <w:u w:val="single"/>
              </w:rPr>
              <w:t xml:space="preserve">научных, научно-исследовательских, исследовательских организаций, </w:t>
            </w:r>
            <w:r w:rsidRPr="00263D7B">
              <w:rPr>
                <w:sz w:val="28"/>
                <w:szCs w:val="28"/>
                <w:u w:val="single"/>
              </w:rPr>
              <w:t>которые будут задействованы в организации совместных исследований и реализации совместных проектов</w:t>
            </w:r>
            <w:r w:rsidR="0028589A" w:rsidRPr="00263D7B">
              <w:rPr>
                <w:sz w:val="28"/>
                <w:szCs w:val="28"/>
                <w:u w:val="single"/>
              </w:rPr>
              <w:t xml:space="preserve">. </w:t>
            </w:r>
          </w:p>
          <w:p w:rsidR="00F218B3" w:rsidRPr="0035149B" w:rsidRDefault="00F218B3" w:rsidP="00F762EE">
            <w:pPr>
              <w:ind w:left="-57" w:right="-57" w:firstLine="766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11. Предполагаемые сроки вступления проекта решения ЕЭК в силу </w:t>
            </w:r>
          </w:p>
          <w:p w:rsidR="003E2F10" w:rsidRPr="00263D7B" w:rsidRDefault="004C45E0" w:rsidP="00701C37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соответствии с пунктом 16 Положения о Евразийской экономической комиссии (приложение № 1 к Договору о 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>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 вступление проекта Решения в силу предполагается</w:t>
            </w:r>
            <w:r w:rsidR="007D1393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по истечении 30 календарных дней с даты его официального опубликования</w:t>
            </w:r>
            <w:r w:rsidR="0028589A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. </w:t>
            </w:r>
          </w:p>
          <w:p w:rsidR="0028589A" w:rsidRPr="0035149B" w:rsidRDefault="0028589A" w:rsidP="00701C37">
            <w:pPr>
              <w:ind w:right="-57" w:firstLine="709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12. Ожидаемый результат регулирования</w:t>
            </w:r>
          </w:p>
          <w:p w:rsidR="00B51569" w:rsidRPr="00263D7B" w:rsidRDefault="00B51569" w:rsidP="00B51569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Увеличение количества совместных научно-исследовательских работ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и инновационных проектов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в ЕАЭС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(при условии увеличения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затрат </w:t>
            </w:r>
            <w:r w:rsidR="002B0775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исследования и разработки</w:t>
            </w:r>
            <w:r w:rsidR="005B1502"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и/или наделения ЕЭК полномочиями в сфере научно-технического сотрудничества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>).</w:t>
            </w:r>
          </w:p>
          <w:p w:rsidR="00D105D4" w:rsidRPr="0035149B" w:rsidRDefault="00D105D4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rFonts w:eastAsia="Calibri"/>
                <w:b/>
                <w:sz w:val="28"/>
                <w:szCs w:val="28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lastRenderedPageBreak/>
              <w:t>13.1 Программные документы в государствах – членах по предмету проекта решения: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Армения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стратегические документы, включая приоритеты развития науки и техники, утверждаются Правительством Республики Армения. Разработана Стратегия трансформации Армении до 2050 года, Стратегическая программа перспективного развития Республики Армения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2014-2025 гг. (Решение Правительства Республики Армения от 27 марта 2014 г. № 442-Н). С 2016 года Армения участвует в качестве ассоциированного члена программ исследований и инноваций Европейского союза.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Беларусь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долгосрочные приоритеты в сфере научно-технологического развития определены указом Президента Республики Беларусь от 7 мая 2020 г. № 156 «О приоритетных направлениях научной, научно-технической и инновационной деятельности на 2021-2025 годы». Ключевыми программными документами являются государственные программы инновационного развития Республики Беларусь (ГПИР) на 5-летние периоды, утверждаемые указами Президента Республики Беларусь;</w:t>
            </w:r>
          </w:p>
          <w:p w:rsidR="003332C2" w:rsidRPr="00263D7B" w:rsidRDefault="003332C2" w:rsidP="003332C2">
            <w:pPr>
              <w:ind w:right="-57" w:firstLine="709"/>
              <w:jc w:val="both"/>
              <w:rPr>
                <w:rStyle w:val="CharStyle13"/>
                <w:rFonts w:eastAsia="Calibri"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Республике Казахстан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политика в сфере научно-технологического развития определяется, главным образом, следующими документами: Стратегия «Казахстан-2050», Национальный план развития Республики Казахстан до 2025 года (утвержден Указом Президента Республики Казахстан от 15 февраля 2018 года № 636);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rStyle w:val="CharStyle13"/>
                <w:rFonts w:eastAsia="Calibri"/>
                <w:b/>
                <w:strike/>
                <w:sz w:val="28"/>
                <w:szCs w:val="28"/>
                <w:lang w:val="ru-RU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Кыргызской Республике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приоритетные сферы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 xml:space="preserve">и техники определяются на основе комплексного прогноза социально-экономического и научно-технического развития Кыргызской Республики (Прогнозе социально-экономического развития Кыргызской Республики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>на 2023-2027 годы, утвержденном постановлением Кабинета Министров Кыргызской Республики 06 сентября 2022 г. № 484);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в </w:t>
            </w:r>
            <w:r w:rsidRPr="00263D7B">
              <w:rPr>
                <w:rStyle w:val="CharStyle13"/>
                <w:rFonts w:eastAsia="Calibri"/>
                <w:i/>
                <w:sz w:val="28"/>
                <w:szCs w:val="28"/>
                <w:lang w:val="ru-RU"/>
              </w:rPr>
              <w:t>Российской Федерации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t xml:space="preserve"> перспективные области развития науки </w:t>
            </w:r>
            <w:r w:rsidRPr="00263D7B">
              <w:rPr>
                <w:rStyle w:val="CharStyle13"/>
                <w:rFonts w:eastAsia="Calibri"/>
                <w:sz w:val="28"/>
                <w:szCs w:val="28"/>
                <w:lang w:val="ru-RU"/>
              </w:rPr>
              <w:br/>
              <w:t xml:space="preserve">и технологий на период до 2030 года определены в Прогнозе научно-технологического развития Российской Федерации на период до 2030 года, утвержденном Председателем Правительства Российской Федерации 3 января 2014 г. № ДМ-П8-5. Прогноз формирует единую платформу для разработки долгосрочных стратегий, целевых программ, а также прогнозных документов среднесрочного характера. Другими документами являются: </w:t>
            </w:r>
            <w:hyperlink r:id="rId12" w:history="1">
              <w:r w:rsidRPr="00263D7B">
                <w:rPr>
                  <w:sz w:val="28"/>
                  <w:szCs w:val="28"/>
                  <w:u w:val="single"/>
                </w:rPr>
                <w:t>Стратегия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научно-технологического развития Российской Федерации (Указ Президента Российской Федерации от 28 февраля 2024 г. № 145), </w:t>
            </w:r>
            <w:hyperlink r:id="rId13" w:history="1">
              <w:r w:rsidRPr="00263D7B">
                <w:rPr>
                  <w:sz w:val="28"/>
                  <w:szCs w:val="28"/>
                  <w:u w:val="single"/>
                </w:rPr>
                <w:t>Прогноз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 долгосрочного социально-экономического развития Российской Федерации на период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до 2036 года, государственная программа «Научно-технологическое развитие Российской Федерации на 2019-2030 годы» (постановление Правительства РФ от 29 марта 2019 г. N 377), Национальный проект «Наука и университеты». </w:t>
            </w:r>
          </w:p>
          <w:p w:rsidR="003332C2" w:rsidRPr="00263D7B" w:rsidRDefault="003332C2" w:rsidP="003332C2">
            <w:pPr>
              <w:shd w:val="clear" w:color="auto" w:fill="FFFFFF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Наиболее прогрессивная система управления научно-технологическим развитием наблюдается в Российской Федерации. Государства-члены могут стремиться к гармонизации подходов в управлении наукой и инновациями. </w:t>
            </w:r>
            <w:r w:rsidRPr="00263D7B">
              <w:rPr>
                <w:sz w:val="28"/>
                <w:szCs w:val="28"/>
                <w:u w:val="single"/>
              </w:rPr>
              <w:br/>
            </w:r>
            <w:r w:rsidRPr="00263D7B">
              <w:rPr>
                <w:sz w:val="28"/>
                <w:szCs w:val="28"/>
                <w:u w:val="single"/>
              </w:rPr>
              <w:lastRenderedPageBreak/>
              <w:t>В частности, решение Коллегии ЕЭК (пункт 1 справки) содействует движению в данном направлении.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13.2 Международный опыт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Содружество Независимых Государств (далее – СНГ, Содружество)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В рамках СНГ приняты документы концептуального, программного характера, а также модельный закон.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Так, Концепция научно-технического и технологического сотрудничества государств – участников СНГ от 28 октября 2022 г. и план мероприятий по ее реализации предполагает создание благоприятных условий для развития межгосударственного научно-технического и технологического сотрудничества, интеграции в области исследований в прорывных областях науки, техники и технологий государств – участников СНГ.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Межгосударственная </w:t>
            </w:r>
            <w:hyperlink w:anchor="P55">
              <w:r w:rsidRPr="00263D7B">
                <w:rPr>
                  <w:sz w:val="28"/>
                  <w:szCs w:val="28"/>
                  <w:u w:val="single"/>
                </w:rPr>
                <w:t>программ</w:t>
              </w:r>
            </w:hyperlink>
            <w:r w:rsidRPr="00263D7B">
              <w:rPr>
                <w:sz w:val="28"/>
                <w:szCs w:val="28"/>
                <w:u w:val="single"/>
              </w:rPr>
              <w:t xml:space="preserve">а инновационного сотрудничества государств – участников СНГ на период до 2030 года от 06 ноября 2020 г. предусматривает в </w:t>
            </w:r>
            <w:proofErr w:type="spellStart"/>
            <w:r w:rsidRPr="00263D7B">
              <w:rPr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sz w:val="28"/>
                <w:szCs w:val="28"/>
                <w:u w:val="single"/>
              </w:rPr>
              <w:t xml:space="preserve">.: 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определение приоритетных областей инновационного сотрудничества </w:t>
            </w:r>
            <w:r w:rsidRPr="00263D7B">
              <w:rPr>
                <w:sz w:val="28"/>
                <w:szCs w:val="28"/>
                <w:u w:val="single"/>
              </w:rPr>
              <w:br/>
              <w:t>и приоритетов совместной деятельности;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развитие существующих и создание новых высокотехнологичных рынков товаров и услуг через освоение и использование сквозных технологий, проведение фундаментальных, поисковых и прикладных исследований </w:t>
            </w:r>
            <w:r w:rsidRPr="00263D7B">
              <w:rPr>
                <w:sz w:val="28"/>
                <w:szCs w:val="28"/>
                <w:u w:val="single"/>
              </w:rPr>
              <w:br/>
              <w:t>и опытно-конструкторских разработок, реализацию совместных инновационных проектов;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регулирование межгосударственного инновационного сотрудничества.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Модельный закон об инновационной деятельности (Постановление </w:t>
            </w:r>
            <w:r w:rsidRPr="00263D7B">
              <w:rPr>
                <w:sz w:val="28"/>
                <w:szCs w:val="28"/>
                <w:u w:val="single"/>
              </w:rPr>
              <w:br/>
              <w:t>N 27-16 от 16 ноября 2006 г.) носит рекомендательный характер и направлен на гармонизацию законодательства государств-участников СНГ в области инновационной деятельности.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Ассоциация стран Юго-Восточной Азии (далее – АСЕАН)</w:t>
            </w:r>
          </w:p>
          <w:p w:rsidR="003332C2" w:rsidRPr="00263D7B" w:rsidRDefault="003332C2" w:rsidP="003332C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Научно-технологическое взаимодействие в рамках АСЕАН реализуется через План действий в области науки, технологии и инноваций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APASTI</w:t>
            </w:r>
            <w:r w:rsidRPr="00263D7B">
              <w:rPr>
                <w:sz w:val="28"/>
                <w:szCs w:val="28"/>
                <w:u w:val="single"/>
              </w:rPr>
              <w:t>)</w:t>
            </w:r>
            <w:r w:rsidRPr="00263D7B">
              <w:rPr>
                <w:rStyle w:val="af7"/>
                <w:sz w:val="28"/>
                <w:szCs w:val="28"/>
                <w:u w:val="single"/>
              </w:rPr>
              <w:footnoteReference w:id="3"/>
            </w:r>
            <w:r w:rsidRPr="00263D7B">
              <w:rPr>
                <w:sz w:val="28"/>
                <w:szCs w:val="28"/>
                <w:u w:val="single"/>
              </w:rPr>
              <w:t xml:space="preserve">,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в котором определяются стратегические направления развития. Очередной план принят на 2016-2025 гг., опирается на государственно-частное партнерство, мобильность талантов, поддержку предпринимательства </w:t>
            </w:r>
            <w:r w:rsidRPr="00263D7B">
              <w:rPr>
                <w:sz w:val="28"/>
                <w:szCs w:val="28"/>
                <w:u w:val="single"/>
              </w:rPr>
              <w:br/>
              <w:t>и осведомленность общества.  План обсуждается на ежегодной встрече Министров АСЕАН по науке и технологиям (</w:t>
            </w:r>
            <w:r w:rsidRPr="00263D7B">
              <w:rPr>
                <w:sz w:val="28"/>
                <w:szCs w:val="28"/>
                <w:u w:val="single"/>
                <w:lang w:val="en-US"/>
              </w:rPr>
              <w:t>AMMST</w:t>
            </w:r>
            <w:r w:rsidRPr="00263D7B">
              <w:rPr>
                <w:sz w:val="28"/>
                <w:szCs w:val="28"/>
                <w:u w:val="single"/>
              </w:rPr>
              <w:t xml:space="preserve">). Ответственным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за определение направлений, координацию действий и обеспечение общественной осведомленности является постоянный Комитет АСЕАН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по науке и технологиям. 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>Европейский союз (далее – ЕС)</w:t>
            </w:r>
          </w:p>
          <w:p w:rsidR="003332C2" w:rsidRPr="00263D7B" w:rsidRDefault="003332C2" w:rsidP="003332C2">
            <w:pPr>
              <w:ind w:firstLine="708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Основным инструментом развития научных исследований и технологий в ЕС являются рамочные программы, для реализации которых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t>создается общий фонд. В программе определяются приоритетные направления науч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>но-</w:t>
            </w:r>
            <w:r w:rsidRPr="00263D7B">
              <w:rPr>
                <w:color w:val="000000"/>
                <w:sz w:val="28"/>
                <w:szCs w:val="28"/>
                <w:u w:val="single"/>
              </w:rPr>
              <w:lastRenderedPageBreak/>
              <w:t>технических исследований, представляющих стратегический ин</w:t>
            </w:r>
            <w:r w:rsidRPr="00263D7B">
              <w:rPr>
                <w:color w:val="000000"/>
                <w:sz w:val="28"/>
                <w:szCs w:val="28"/>
                <w:u w:val="single"/>
              </w:rPr>
              <w:softHyphen/>
              <w:t xml:space="preserve">терес для ЕС; критерии, которым должны удовлетворять НИОКР, и финансирование многосторонних международных проектов на конкурсной основе. </w:t>
            </w:r>
          </w:p>
          <w:p w:rsidR="00C6775A" w:rsidRPr="00263D7B" w:rsidRDefault="003332C2" w:rsidP="003332C2">
            <w:pPr>
              <w:ind w:firstLine="708"/>
              <w:jc w:val="both"/>
              <w:rPr>
                <w:rStyle w:val="CharStyle13"/>
                <w:color w:val="auto"/>
                <w:sz w:val="28"/>
                <w:szCs w:val="28"/>
                <w:shd w:val="clear" w:color="auto" w:fill="auto"/>
                <w:lang w:val="ru-RU"/>
              </w:rPr>
            </w:pPr>
            <w:r w:rsidRPr="00263D7B">
              <w:rPr>
                <w:color w:val="000000"/>
                <w:sz w:val="28"/>
                <w:szCs w:val="28"/>
                <w:u w:val="single"/>
              </w:rPr>
              <w:t xml:space="preserve">Прогрессивность международного опыта состоит в том, что приоритеты развития науки и технологий, в </w:t>
            </w:r>
            <w:proofErr w:type="spellStart"/>
            <w:r w:rsidRPr="00263D7B">
              <w:rPr>
                <w:color w:val="000000"/>
                <w:sz w:val="28"/>
                <w:szCs w:val="28"/>
                <w:u w:val="single"/>
              </w:rPr>
              <w:t>т.ч</w:t>
            </w:r>
            <w:proofErr w:type="spellEnd"/>
            <w:r w:rsidRPr="00263D7B">
              <w:rPr>
                <w:color w:val="000000"/>
                <w:sz w:val="28"/>
                <w:szCs w:val="28"/>
                <w:u w:val="single"/>
              </w:rPr>
              <w:t xml:space="preserve">. проведения исследований, увязываются </w:t>
            </w:r>
            <w:r w:rsidRPr="00263D7B">
              <w:rPr>
                <w:color w:val="000000"/>
                <w:sz w:val="28"/>
                <w:szCs w:val="28"/>
                <w:u w:val="single"/>
              </w:rPr>
              <w:br/>
              <w:t>с соответствующим финансирование (бюджет Девятой рамочной программы ЕС «Горизонт Европа» 2021-2027 гг. составляет 95,5 млрд €). Данный сценарий является перспективным для ЕАЭС, однако требует серьезного развития правовой ос</w:t>
            </w:r>
            <w:bookmarkStart w:id="0" w:name="_GoBack"/>
            <w:bookmarkEnd w:id="0"/>
            <w:r w:rsidRPr="00263D7B">
              <w:rPr>
                <w:color w:val="000000"/>
                <w:sz w:val="28"/>
                <w:szCs w:val="28"/>
                <w:u w:val="single"/>
              </w:rPr>
              <w:t>новы функционирования Союза в части финансирования кооперационных проектов не только в сфере промышленности.</w:t>
            </w:r>
          </w:p>
          <w:p w:rsidR="003332C2" w:rsidRPr="0035149B" w:rsidRDefault="003332C2" w:rsidP="003332C2">
            <w:pPr>
              <w:shd w:val="clear" w:color="auto" w:fill="FFFFFF"/>
              <w:ind w:firstLine="743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C93E41" w:rsidRPr="0035149B" w:rsidRDefault="00F218B3" w:rsidP="00724BA0">
            <w:pPr>
              <w:ind w:firstLine="709"/>
              <w:jc w:val="both"/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</w:pPr>
            <w:r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lastRenderedPageBreak/>
              <w:t>14. Сведения о проведении публичного</w:t>
            </w:r>
            <w:r w:rsidR="00391382" w:rsidRPr="0035149B">
              <w:rPr>
                <w:rStyle w:val="CharStyle15"/>
                <w:rFonts w:eastAsia="Calibri"/>
                <w:b/>
                <w:sz w:val="28"/>
                <w:szCs w:val="28"/>
                <w:u w:val="none"/>
              </w:rPr>
              <w:t xml:space="preserve"> обсуждения проекта решения ЕЭК</w:t>
            </w:r>
          </w:p>
          <w:p w:rsidR="004D1A74" w:rsidRPr="00263D7B" w:rsidRDefault="004D1A74" w:rsidP="004D1A74">
            <w:pPr>
              <w:pStyle w:val="af4"/>
              <w:spacing w:line="276" w:lineRule="auto"/>
              <w:ind w:right="-57" w:firstLine="709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263D7B">
              <w:rPr>
                <w:sz w:val="28"/>
                <w:szCs w:val="28"/>
                <w:u w:val="single"/>
              </w:rPr>
              <w:t xml:space="preserve">Проект решения </w:t>
            </w:r>
            <w:r w:rsidRPr="00627781">
              <w:rPr>
                <w:sz w:val="28"/>
                <w:szCs w:val="28"/>
                <w:u w:val="single"/>
              </w:rPr>
              <w:t xml:space="preserve">размещен </w:t>
            </w:r>
            <w:r w:rsidR="004E4D04" w:rsidRPr="00627781">
              <w:rPr>
                <w:sz w:val="28"/>
                <w:szCs w:val="28"/>
                <w:u w:val="single"/>
              </w:rPr>
              <w:t>21</w:t>
            </w:r>
            <w:r w:rsidRPr="00627781">
              <w:rPr>
                <w:sz w:val="28"/>
                <w:szCs w:val="28"/>
                <w:u w:val="single"/>
              </w:rPr>
              <w:t xml:space="preserve"> марта </w:t>
            </w:r>
            <w:r w:rsidRPr="00263D7B">
              <w:rPr>
                <w:sz w:val="28"/>
                <w:szCs w:val="28"/>
                <w:u w:val="single"/>
              </w:rPr>
              <w:t xml:space="preserve">2024 г. на правовом портале Евразийского экономического союза для проведения публичного обсуждения </w:t>
            </w:r>
            <w:r w:rsidRPr="00263D7B">
              <w:rPr>
                <w:sz w:val="28"/>
                <w:szCs w:val="28"/>
                <w:u w:val="single"/>
              </w:rPr>
              <w:br/>
              <w:t xml:space="preserve">на срок </w:t>
            </w:r>
            <w:r w:rsidR="00497363" w:rsidRPr="00263D7B">
              <w:rPr>
                <w:sz w:val="28"/>
                <w:szCs w:val="28"/>
                <w:u w:val="single"/>
              </w:rPr>
              <w:t>3</w:t>
            </w:r>
            <w:r w:rsidRPr="00263D7B">
              <w:rPr>
                <w:sz w:val="28"/>
                <w:szCs w:val="28"/>
                <w:u w:val="single"/>
              </w:rPr>
              <w:t>0 дней.</w:t>
            </w:r>
          </w:p>
          <w:p w:rsidR="00F826AB" w:rsidRPr="0035149B" w:rsidRDefault="00F826AB" w:rsidP="00F826AB">
            <w:pPr>
              <w:rPr>
                <w:rStyle w:val="CharStyle15"/>
                <w:rFonts w:eastAsia="Calibri"/>
                <w:u w:val="none"/>
                <w:lang w:val="ru-RU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7C42E3" w:rsidRPr="0035149B" w:rsidRDefault="00724BA0" w:rsidP="00724BA0">
            <w:pPr>
              <w:ind w:left="-57" w:right="-57" w:firstLine="766"/>
              <w:jc w:val="both"/>
              <w:rPr>
                <w:rFonts w:eastAsia="Calibri"/>
                <w:b/>
                <w:sz w:val="26"/>
                <w:szCs w:val="26"/>
              </w:rPr>
            </w:pPr>
            <w:r w:rsidRPr="0035149B">
              <w:rPr>
                <w:rFonts w:eastAsia="Calibri"/>
                <w:b/>
                <w:sz w:val="28"/>
                <w:szCs w:val="28"/>
              </w:rPr>
              <w:t>1</w:t>
            </w:r>
            <w:r w:rsidR="00F218B3" w:rsidRPr="0035149B">
              <w:rPr>
                <w:rFonts w:eastAsia="Calibri"/>
                <w:b/>
                <w:sz w:val="28"/>
                <w:szCs w:val="28"/>
              </w:rPr>
              <w:t>5. Сведения о заключении об оценке регулирующего воздействия на проект решения ЕЭК</w:t>
            </w:r>
          </w:p>
          <w:p w:rsidR="00F218B3" w:rsidRPr="0035149B" w:rsidRDefault="00F826AB" w:rsidP="00F826AB">
            <w:pPr>
              <w:ind w:right="-57"/>
              <w:jc w:val="both"/>
              <w:rPr>
                <w:rStyle w:val="CharStyle15"/>
                <w:rFonts w:eastAsia="Calibri"/>
                <w:u w:val="none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 w:rsidR="00497363" w:rsidRPr="0035149B">
              <w:rPr>
                <w:rStyle w:val="CharStyle15"/>
                <w:rFonts w:eastAsia="Calibri"/>
                <w:u w:val="none"/>
              </w:rPr>
              <w:t>___</w:t>
            </w:r>
          </w:p>
          <w:p w:rsidR="00F815CB" w:rsidRPr="0035149B" w:rsidRDefault="00F815CB" w:rsidP="00F826AB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35149B" w:rsidTr="00E17C32">
        <w:tc>
          <w:tcPr>
            <w:tcW w:w="9853" w:type="dxa"/>
          </w:tcPr>
          <w:p w:rsidR="00F218B3" w:rsidRPr="0035149B" w:rsidRDefault="00F218B3" w:rsidP="00724BA0">
            <w:pPr>
              <w:ind w:left="-57" w:right="-57" w:firstLine="766"/>
              <w:jc w:val="both"/>
              <w:rPr>
                <w:b/>
                <w:bCs/>
                <w:sz w:val="28"/>
                <w:szCs w:val="28"/>
              </w:rPr>
            </w:pPr>
            <w:r w:rsidRPr="0035149B">
              <w:rPr>
                <w:b/>
                <w:bCs/>
                <w:sz w:val="28"/>
                <w:szCs w:val="28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 w:rsidRPr="0035149B">
              <w:rPr>
                <w:b/>
                <w:bCs/>
                <w:sz w:val="28"/>
                <w:szCs w:val="28"/>
              </w:rPr>
              <w:t>я ЕЭК и (или) о его подготовке</w:t>
            </w:r>
            <w:r w:rsidR="00F25FB5" w:rsidRPr="0035149B">
              <w:rPr>
                <w:b/>
                <w:bCs/>
                <w:sz w:val="28"/>
                <w:szCs w:val="28"/>
              </w:rPr>
              <w:t>:</w:t>
            </w:r>
          </w:p>
          <w:p w:rsidR="00B84CCE" w:rsidRPr="0035149B" w:rsidRDefault="0035149B" w:rsidP="0035149B">
            <w:pPr>
              <w:ind w:right="-57"/>
              <w:jc w:val="both"/>
              <w:rPr>
                <w:bCs/>
                <w:sz w:val="28"/>
                <w:szCs w:val="28"/>
              </w:rPr>
            </w:pPr>
            <w:r w:rsidRPr="0035149B">
              <w:rPr>
                <w:rStyle w:val="CharStyle15"/>
                <w:rFonts w:eastAsia="Calibri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Style w:val="CharStyle15"/>
                <w:rFonts w:eastAsia="Calibri"/>
                <w:u w:val="none"/>
              </w:rPr>
              <w:t>_</w:t>
            </w:r>
          </w:p>
        </w:tc>
      </w:tr>
    </w:tbl>
    <w:p w:rsidR="00F218B3" w:rsidRPr="00F218B3" w:rsidRDefault="00F218B3" w:rsidP="00285DE4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CF146B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1E" w:rsidRDefault="0019561E" w:rsidP="000E2B1F">
      <w:pPr>
        <w:spacing w:line="240" w:lineRule="auto"/>
      </w:pPr>
      <w:r>
        <w:separator/>
      </w:r>
    </w:p>
  </w:endnote>
  <w:endnote w:type="continuationSeparator" w:id="0">
    <w:p w:rsidR="0019561E" w:rsidRDefault="0019561E" w:rsidP="000E2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1E" w:rsidRDefault="0019561E" w:rsidP="000E2B1F">
      <w:pPr>
        <w:spacing w:line="240" w:lineRule="auto"/>
      </w:pPr>
      <w:r>
        <w:separator/>
      </w:r>
    </w:p>
  </w:footnote>
  <w:footnote w:type="continuationSeparator" w:id="0">
    <w:p w:rsidR="0019561E" w:rsidRDefault="0019561E" w:rsidP="000E2B1F">
      <w:pPr>
        <w:spacing w:line="240" w:lineRule="auto"/>
      </w:pPr>
      <w:r>
        <w:continuationSeparator/>
      </w:r>
    </w:p>
  </w:footnote>
  <w:footnote w:id="1">
    <w:p w:rsidR="00FA57F4" w:rsidRPr="0077583B" w:rsidRDefault="00FA57F4" w:rsidP="00FA57F4">
      <w:pPr>
        <w:pStyle w:val="af0"/>
        <w:rPr>
          <w:lang w:val="en-US"/>
        </w:rPr>
      </w:pPr>
      <w:r>
        <w:rPr>
          <w:rStyle w:val="af7"/>
        </w:rPr>
        <w:footnoteRef/>
      </w:r>
      <w:r w:rsidRPr="0077583B">
        <w:rPr>
          <w:lang w:val="en-US"/>
        </w:rPr>
        <w:t xml:space="preserve"> </w:t>
      </w:r>
      <w:hyperlink r:id="rId1" w:history="1"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2022 </w:t>
        </w:r>
        <w:r w:rsidRPr="00C074D2">
          <w:rPr>
            <w:rStyle w:val="af8"/>
            <w:lang w:val="en-US"/>
          </w:rPr>
          <w:t>results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GII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reveals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most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innovative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economies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world</w:t>
        </w:r>
        <w:r w:rsidRPr="0077583B">
          <w:rPr>
            <w:rStyle w:val="af8"/>
            <w:lang w:val="en-US"/>
          </w:rPr>
          <w:t xml:space="preserve">, </w:t>
        </w:r>
        <w:r w:rsidRPr="00C074D2">
          <w:rPr>
            <w:rStyle w:val="af8"/>
            <w:lang w:val="en-US"/>
          </w:rPr>
          <w:t>ranking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the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innovation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performance</w:t>
        </w:r>
        <w:r w:rsidRPr="0077583B">
          <w:rPr>
            <w:rStyle w:val="af8"/>
            <w:lang w:val="en-US"/>
          </w:rPr>
          <w:t xml:space="preserve"> </w:t>
        </w:r>
        <w:r w:rsidRPr="00C074D2">
          <w:rPr>
            <w:rStyle w:val="af8"/>
            <w:lang w:val="en-US"/>
          </w:rPr>
          <w:t>of</w:t>
        </w:r>
        <w:r w:rsidRPr="0077583B">
          <w:rPr>
            <w:rStyle w:val="af8"/>
            <w:lang w:val="en-US"/>
          </w:rPr>
          <w:t xml:space="preserve"> 132 </w:t>
        </w:r>
        <w:r w:rsidRPr="00C074D2">
          <w:rPr>
            <w:rStyle w:val="af8"/>
            <w:lang w:val="en-US"/>
          </w:rPr>
          <w:t>economies</w:t>
        </w:r>
      </w:hyperlink>
    </w:p>
  </w:footnote>
  <w:footnote w:id="2">
    <w:p w:rsidR="00D35B54" w:rsidRDefault="00D35B54">
      <w:pPr>
        <w:pStyle w:val="af0"/>
      </w:pPr>
      <w:r>
        <w:rPr>
          <w:rStyle w:val="af7"/>
        </w:rPr>
        <w:footnoteRef/>
      </w:r>
      <w:r>
        <w:t xml:space="preserve"> Расчеты ЕЭК, </w:t>
      </w:r>
      <w:hyperlink r:id="rId2" w:history="1">
        <w:r w:rsidRPr="00896F83">
          <w:rPr>
            <w:rStyle w:val="af8"/>
          </w:rPr>
          <w:t>http://www.eurasiancommission.org/ru/act/integr_i_makroec/dep_stat/econstat/Pages/science.aspx</w:t>
        </w:r>
      </w:hyperlink>
      <w:r>
        <w:t xml:space="preserve"> </w:t>
      </w:r>
    </w:p>
  </w:footnote>
  <w:footnote w:id="3">
    <w:p w:rsidR="003332C2" w:rsidRPr="008417A9" w:rsidRDefault="003332C2" w:rsidP="003332C2">
      <w:pPr>
        <w:pStyle w:val="af0"/>
        <w:jc w:val="both"/>
      </w:pPr>
      <w:r w:rsidRPr="008417A9">
        <w:rPr>
          <w:rStyle w:val="af7"/>
        </w:rPr>
        <w:footnoteRef/>
      </w:r>
      <w:r w:rsidRPr="008417A9">
        <w:t xml:space="preserve"> Первый план принят в 1985 г. (обновлен в 1989 г.); второй рассчитан на 1996 – 2000 гг., третий – </w:t>
      </w:r>
      <w:r>
        <w:br/>
      </w:r>
      <w:r w:rsidRPr="008417A9">
        <w:t>2001 – 2004 гг. (продлен до 2006 г.); четвертый – 2007 – 2011 гг. (продлен до 2015 г.)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126955"/>
      <w:docPartObj>
        <w:docPartGallery w:val="Page Numbers (Top of Page)"/>
        <w:docPartUnique/>
      </w:docPartObj>
    </w:sdtPr>
    <w:sdtEndPr/>
    <w:sdtContent>
      <w:p w:rsidR="000E2B1F" w:rsidRDefault="000E2B1F">
        <w:pPr>
          <w:pStyle w:val="a9"/>
          <w:jc w:val="center"/>
        </w:pPr>
        <w:r w:rsidRPr="009A4164">
          <w:rPr>
            <w:rFonts w:ascii="Times New Roman" w:hAnsi="Times New Roman" w:cs="Times New Roman"/>
          </w:rPr>
          <w:fldChar w:fldCharType="begin"/>
        </w:r>
        <w:r w:rsidRPr="009A4164">
          <w:rPr>
            <w:rFonts w:ascii="Times New Roman" w:hAnsi="Times New Roman" w:cs="Times New Roman"/>
          </w:rPr>
          <w:instrText>PAGE   \* MERGEFORMAT</w:instrText>
        </w:r>
        <w:r w:rsidRPr="009A4164">
          <w:rPr>
            <w:rFonts w:ascii="Times New Roman" w:hAnsi="Times New Roman" w:cs="Times New Roman"/>
          </w:rPr>
          <w:fldChar w:fldCharType="separate"/>
        </w:r>
        <w:r w:rsidR="002B1578">
          <w:rPr>
            <w:rFonts w:ascii="Times New Roman" w:hAnsi="Times New Roman" w:cs="Times New Roman"/>
            <w:noProof/>
          </w:rPr>
          <w:t>13</w:t>
        </w:r>
        <w:r w:rsidRPr="009A4164">
          <w:rPr>
            <w:rFonts w:ascii="Times New Roman" w:hAnsi="Times New Roman" w:cs="Times New Roman"/>
          </w:rPr>
          <w:fldChar w:fldCharType="end"/>
        </w:r>
      </w:p>
    </w:sdtContent>
  </w:sdt>
  <w:p w:rsidR="000E2B1F" w:rsidRDefault="000E2B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0825"/>
    <w:multiLevelType w:val="hybridMultilevel"/>
    <w:tmpl w:val="68921914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600DF8"/>
    <w:multiLevelType w:val="hybridMultilevel"/>
    <w:tmpl w:val="0AD867E2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E5834"/>
    <w:multiLevelType w:val="hybridMultilevel"/>
    <w:tmpl w:val="344249C2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6438B4"/>
    <w:multiLevelType w:val="multilevel"/>
    <w:tmpl w:val="04E41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23BAB"/>
    <w:multiLevelType w:val="hybridMultilevel"/>
    <w:tmpl w:val="4AA64E2A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D2154C"/>
    <w:multiLevelType w:val="hybridMultilevel"/>
    <w:tmpl w:val="52922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5FC60EC"/>
    <w:multiLevelType w:val="hybridMultilevel"/>
    <w:tmpl w:val="07663B78"/>
    <w:lvl w:ilvl="0" w:tplc="F49CC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7806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6B07C8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3A4D4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CC43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0EBB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A0DE2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54006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34DF3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6F5807"/>
    <w:multiLevelType w:val="hybridMultilevel"/>
    <w:tmpl w:val="A9362C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3190CAF"/>
    <w:multiLevelType w:val="hybridMultilevel"/>
    <w:tmpl w:val="9CEC719A"/>
    <w:lvl w:ilvl="0" w:tplc="7ACC8A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D545A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4C413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786658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5041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88E4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98622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E6D6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A2044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C3150"/>
    <w:multiLevelType w:val="hybridMultilevel"/>
    <w:tmpl w:val="9D10DA00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7796D07"/>
    <w:multiLevelType w:val="hybridMultilevel"/>
    <w:tmpl w:val="0132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FE38CF"/>
    <w:multiLevelType w:val="hybridMultilevel"/>
    <w:tmpl w:val="DED05E3C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F566A1"/>
    <w:multiLevelType w:val="hybridMultilevel"/>
    <w:tmpl w:val="0AB4E0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C890E75"/>
    <w:multiLevelType w:val="multilevel"/>
    <w:tmpl w:val="C302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575E7D"/>
    <w:multiLevelType w:val="hybridMultilevel"/>
    <w:tmpl w:val="32147264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B12CCA"/>
    <w:multiLevelType w:val="hybridMultilevel"/>
    <w:tmpl w:val="792AC538"/>
    <w:lvl w:ilvl="0" w:tplc="43AEC5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1CA54FB"/>
    <w:multiLevelType w:val="hybridMultilevel"/>
    <w:tmpl w:val="297E1726"/>
    <w:lvl w:ilvl="0" w:tplc="C6EE5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9B0DD1"/>
    <w:multiLevelType w:val="multilevel"/>
    <w:tmpl w:val="76983F4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62B2F52"/>
    <w:multiLevelType w:val="hybridMultilevel"/>
    <w:tmpl w:val="468AA04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9">
    <w:nsid w:val="7C0C27DE"/>
    <w:multiLevelType w:val="hybridMultilevel"/>
    <w:tmpl w:val="78CCBF06"/>
    <w:lvl w:ilvl="0" w:tplc="15C8F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"/>
  </w:num>
  <w:num w:numId="5">
    <w:abstractNumId w:val="19"/>
  </w:num>
  <w:num w:numId="6">
    <w:abstractNumId w:val="17"/>
  </w:num>
  <w:num w:numId="7">
    <w:abstractNumId w:val="0"/>
  </w:num>
  <w:num w:numId="8">
    <w:abstractNumId w:val="16"/>
  </w:num>
  <w:num w:numId="9">
    <w:abstractNumId w:val="6"/>
  </w:num>
  <w:num w:numId="10">
    <w:abstractNumId w:val="8"/>
  </w:num>
  <w:num w:numId="11">
    <w:abstractNumId w:val="9"/>
  </w:num>
  <w:num w:numId="12">
    <w:abstractNumId w:val="15"/>
  </w:num>
  <w:num w:numId="13">
    <w:abstractNumId w:val="4"/>
  </w:num>
  <w:num w:numId="14">
    <w:abstractNumId w:val="2"/>
  </w:num>
  <w:num w:numId="15">
    <w:abstractNumId w:val="11"/>
  </w:num>
  <w:num w:numId="16">
    <w:abstractNumId w:val="14"/>
  </w:num>
  <w:num w:numId="17">
    <w:abstractNumId w:val="7"/>
  </w:num>
  <w:num w:numId="18">
    <w:abstractNumId w:val="10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05A0C"/>
    <w:rsid w:val="000074A1"/>
    <w:rsid w:val="000154CA"/>
    <w:rsid w:val="00016346"/>
    <w:rsid w:val="00021CB0"/>
    <w:rsid w:val="00023071"/>
    <w:rsid w:val="00025515"/>
    <w:rsid w:val="0003239C"/>
    <w:rsid w:val="00032DDE"/>
    <w:rsid w:val="00042FDF"/>
    <w:rsid w:val="00043E55"/>
    <w:rsid w:val="00052344"/>
    <w:rsid w:val="00061F53"/>
    <w:rsid w:val="000623F1"/>
    <w:rsid w:val="00062E01"/>
    <w:rsid w:val="000642ED"/>
    <w:rsid w:val="00074F54"/>
    <w:rsid w:val="00075A8F"/>
    <w:rsid w:val="00077547"/>
    <w:rsid w:val="000775D8"/>
    <w:rsid w:val="00083493"/>
    <w:rsid w:val="00095316"/>
    <w:rsid w:val="000A0A40"/>
    <w:rsid w:val="000A0D3B"/>
    <w:rsid w:val="000A70A3"/>
    <w:rsid w:val="000A73B4"/>
    <w:rsid w:val="000A7DB5"/>
    <w:rsid w:val="000B5635"/>
    <w:rsid w:val="000C124E"/>
    <w:rsid w:val="000C2995"/>
    <w:rsid w:val="000C4290"/>
    <w:rsid w:val="000C4F8A"/>
    <w:rsid w:val="000C58A9"/>
    <w:rsid w:val="000D2CF9"/>
    <w:rsid w:val="000D391C"/>
    <w:rsid w:val="000E1372"/>
    <w:rsid w:val="000E2B1F"/>
    <w:rsid w:val="000E34B0"/>
    <w:rsid w:val="000F35FB"/>
    <w:rsid w:val="000F5462"/>
    <w:rsid w:val="000F6749"/>
    <w:rsid w:val="00101A7D"/>
    <w:rsid w:val="0010540B"/>
    <w:rsid w:val="00106366"/>
    <w:rsid w:val="001073B2"/>
    <w:rsid w:val="00111E1E"/>
    <w:rsid w:val="00120EE5"/>
    <w:rsid w:val="0013129D"/>
    <w:rsid w:val="00132759"/>
    <w:rsid w:val="00132900"/>
    <w:rsid w:val="0013738B"/>
    <w:rsid w:val="0014544B"/>
    <w:rsid w:val="001515FE"/>
    <w:rsid w:val="001553F0"/>
    <w:rsid w:val="00156F1A"/>
    <w:rsid w:val="001623A0"/>
    <w:rsid w:val="001624AA"/>
    <w:rsid w:val="00167266"/>
    <w:rsid w:val="00170AD6"/>
    <w:rsid w:val="00173F8F"/>
    <w:rsid w:val="00184A95"/>
    <w:rsid w:val="001864C3"/>
    <w:rsid w:val="00187AC4"/>
    <w:rsid w:val="00192B06"/>
    <w:rsid w:val="001955A8"/>
    <w:rsid w:val="0019561E"/>
    <w:rsid w:val="001A7208"/>
    <w:rsid w:val="001B6CE3"/>
    <w:rsid w:val="001C16A3"/>
    <w:rsid w:val="001C3376"/>
    <w:rsid w:val="001C35AC"/>
    <w:rsid w:val="001D1259"/>
    <w:rsid w:val="001D15EF"/>
    <w:rsid w:val="001D29DD"/>
    <w:rsid w:val="001D7A61"/>
    <w:rsid w:val="001E2CA7"/>
    <w:rsid w:val="001E4ACE"/>
    <w:rsid w:val="001E6AC7"/>
    <w:rsid w:val="001F0007"/>
    <w:rsid w:val="001F0971"/>
    <w:rsid w:val="001F21D0"/>
    <w:rsid w:val="001F3B78"/>
    <w:rsid w:val="001F47DF"/>
    <w:rsid w:val="001F5B60"/>
    <w:rsid w:val="001F7770"/>
    <w:rsid w:val="0020057E"/>
    <w:rsid w:val="002068A9"/>
    <w:rsid w:val="0020704F"/>
    <w:rsid w:val="002102DD"/>
    <w:rsid w:val="0021321E"/>
    <w:rsid w:val="00220F96"/>
    <w:rsid w:val="00223B0A"/>
    <w:rsid w:val="00225B40"/>
    <w:rsid w:val="00235C16"/>
    <w:rsid w:val="0024215E"/>
    <w:rsid w:val="00243B1D"/>
    <w:rsid w:val="00244158"/>
    <w:rsid w:val="002514DA"/>
    <w:rsid w:val="00254157"/>
    <w:rsid w:val="00256C36"/>
    <w:rsid w:val="0025779F"/>
    <w:rsid w:val="00261A24"/>
    <w:rsid w:val="00263D7B"/>
    <w:rsid w:val="0026410A"/>
    <w:rsid w:val="0027022D"/>
    <w:rsid w:val="002711ED"/>
    <w:rsid w:val="002723DD"/>
    <w:rsid w:val="00280104"/>
    <w:rsid w:val="00282EE8"/>
    <w:rsid w:val="00284F16"/>
    <w:rsid w:val="0028589A"/>
    <w:rsid w:val="00285DE4"/>
    <w:rsid w:val="002862D8"/>
    <w:rsid w:val="00290925"/>
    <w:rsid w:val="002947F3"/>
    <w:rsid w:val="002B0775"/>
    <w:rsid w:val="002B1578"/>
    <w:rsid w:val="002B27DB"/>
    <w:rsid w:val="002C02C0"/>
    <w:rsid w:val="002C03B3"/>
    <w:rsid w:val="002C2B38"/>
    <w:rsid w:val="002C33A6"/>
    <w:rsid w:val="002C5A18"/>
    <w:rsid w:val="002D1660"/>
    <w:rsid w:val="002D49CC"/>
    <w:rsid w:val="002D54EC"/>
    <w:rsid w:val="002E3D98"/>
    <w:rsid w:val="002F43D4"/>
    <w:rsid w:val="002F75FC"/>
    <w:rsid w:val="00304CA9"/>
    <w:rsid w:val="003057D8"/>
    <w:rsid w:val="00311320"/>
    <w:rsid w:val="00311AEC"/>
    <w:rsid w:val="00313FC7"/>
    <w:rsid w:val="003149D3"/>
    <w:rsid w:val="003150DF"/>
    <w:rsid w:val="003207A2"/>
    <w:rsid w:val="0032492A"/>
    <w:rsid w:val="003267E3"/>
    <w:rsid w:val="0032717E"/>
    <w:rsid w:val="00330458"/>
    <w:rsid w:val="003332C2"/>
    <w:rsid w:val="00333E53"/>
    <w:rsid w:val="003435A1"/>
    <w:rsid w:val="003459D4"/>
    <w:rsid w:val="00347DA7"/>
    <w:rsid w:val="003507DC"/>
    <w:rsid w:val="0035149B"/>
    <w:rsid w:val="003644F9"/>
    <w:rsid w:val="0036633B"/>
    <w:rsid w:val="0036648D"/>
    <w:rsid w:val="003669CA"/>
    <w:rsid w:val="00366B9B"/>
    <w:rsid w:val="00373A7B"/>
    <w:rsid w:val="003746C3"/>
    <w:rsid w:val="00376982"/>
    <w:rsid w:val="00391382"/>
    <w:rsid w:val="00391935"/>
    <w:rsid w:val="00393479"/>
    <w:rsid w:val="003943A8"/>
    <w:rsid w:val="003A3A72"/>
    <w:rsid w:val="003B4078"/>
    <w:rsid w:val="003B59B7"/>
    <w:rsid w:val="003B7A81"/>
    <w:rsid w:val="003C1B22"/>
    <w:rsid w:val="003D4E0C"/>
    <w:rsid w:val="003D5126"/>
    <w:rsid w:val="003D6D88"/>
    <w:rsid w:val="003E2F10"/>
    <w:rsid w:val="003E4C3F"/>
    <w:rsid w:val="003E6DB7"/>
    <w:rsid w:val="003F1609"/>
    <w:rsid w:val="003F25C3"/>
    <w:rsid w:val="003F4A9E"/>
    <w:rsid w:val="003F7759"/>
    <w:rsid w:val="00412A55"/>
    <w:rsid w:val="00420AAC"/>
    <w:rsid w:val="004238EF"/>
    <w:rsid w:val="0042467C"/>
    <w:rsid w:val="004257EA"/>
    <w:rsid w:val="00425D52"/>
    <w:rsid w:val="004323B5"/>
    <w:rsid w:val="00433705"/>
    <w:rsid w:val="00433A09"/>
    <w:rsid w:val="00435850"/>
    <w:rsid w:val="00444364"/>
    <w:rsid w:val="00444510"/>
    <w:rsid w:val="004561CC"/>
    <w:rsid w:val="00464006"/>
    <w:rsid w:val="004667EA"/>
    <w:rsid w:val="004718B0"/>
    <w:rsid w:val="004718CA"/>
    <w:rsid w:val="004722EF"/>
    <w:rsid w:val="00474707"/>
    <w:rsid w:val="00475C91"/>
    <w:rsid w:val="0047624F"/>
    <w:rsid w:val="0048711A"/>
    <w:rsid w:val="00491791"/>
    <w:rsid w:val="00493E77"/>
    <w:rsid w:val="00495C8A"/>
    <w:rsid w:val="00497363"/>
    <w:rsid w:val="004A2E2B"/>
    <w:rsid w:val="004B09E7"/>
    <w:rsid w:val="004B4203"/>
    <w:rsid w:val="004B48B9"/>
    <w:rsid w:val="004B493D"/>
    <w:rsid w:val="004C3788"/>
    <w:rsid w:val="004C3F10"/>
    <w:rsid w:val="004C45E0"/>
    <w:rsid w:val="004C4F5A"/>
    <w:rsid w:val="004C53B5"/>
    <w:rsid w:val="004C58D9"/>
    <w:rsid w:val="004D1A74"/>
    <w:rsid w:val="004E4D04"/>
    <w:rsid w:val="00503D8B"/>
    <w:rsid w:val="005051C3"/>
    <w:rsid w:val="00510991"/>
    <w:rsid w:val="005143DA"/>
    <w:rsid w:val="00514443"/>
    <w:rsid w:val="005150B9"/>
    <w:rsid w:val="00517BA3"/>
    <w:rsid w:val="005268EB"/>
    <w:rsid w:val="00532458"/>
    <w:rsid w:val="005344C8"/>
    <w:rsid w:val="00535AF2"/>
    <w:rsid w:val="00550B0B"/>
    <w:rsid w:val="00551711"/>
    <w:rsid w:val="0055189C"/>
    <w:rsid w:val="005518F5"/>
    <w:rsid w:val="00552A3B"/>
    <w:rsid w:val="005572C3"/>
    <w:rsid w:val="0056418C"/>
    <w:rsid w:val="00565460"/>
    <w:rsid w:val="0057661C"/>
    <w:rsid w:val="00580025"/>
    <w:rsid w:val="00580401"/>
    <w:rsid w:val="005824A4"/>
    <w:rsid w:val="0058271D"/>
    <w:rsid w:val="00586043"/>
    <w:rsid w:val="005864EE"/>
    <w:rsid w:val="00586599"/>
    <w:rsid w:val="00594B13"/>
    <w:rsid w:val="00595B50"/>
    <w:rsid w:val="0059645A"/>
    <w:rsid w:val="005A0C65"/>
    <w:rsid w:val="005A539A"/>
    <w:rsid w:val="005A5D21"/>
    <w:rsid w:val="005A7D33"/>
    <w:rsid w:val="005B03A7"/>
    <w:rsid w:val="005B1502"/>
    <w:rsid w:val="005B37A0"/>
    <w:rsid w:val="005B3A9B"/>
    <w:rsid w:val="005B41D8"/>
    <w:rsid w:val="005B6FA0"/>
    <w:rsid w:val="005C7D90"/>
    <w:rsid w:val="005C7F2C"/>
    <w:rsid w:val="005D2363"/>
    <w:rsid w:val="005D321D"/>
    <w:rsid w:val="005E0D44"/>
    <w:rsid w:val="005E1EE4"/>
    <w:rsid w:val="005E448E"/>
    <w:rsid w:val="005E67D7"/>
    <w:rsid w:val="005E69B2"/>
    <w:rsid w:val="005F0134"/>
    <w:rsid w:val="005F040F"/>
    <w:rsid w:val="005F0DFD"/>
    <w:rsid w:val="005F143A"/>
    <w:rsid w:val="005F6A88"/>
    <w:rsid w:val="005F7A0A"/>
    <w:rsid w:val="006040C0"/>
    <w:rsid w:val="0060557D"/>
    <w:rsid w:val="00605984"/>
    <w:rsid w:val="00610696"/>
    <w:rsid w:val="00613B89"/>
    <w:rsid w:val="006264A5"/>
    <w:rsid w:val="00627781"/>
    <w:rsid w:val="00630583"/>
    <w:rsid w:val="006310B4"/>
    <w:rsid w:val="0063163A"/>
    <w:rsid w:val="006418E1"/>
    <w:rsid w:val="00641DEE"/>
    <w:rsid w:val="00651F75"/>
    <w:rsid w:val="00654B74"/>
    <w:rsid w:val="0065698F"/>
    <w:rsid w:val="006573C9"/>
    <w:rsid w:val="00657857"/>
    <w:rsid w:val="00657AE3"/>
    <w:rsid w:val="0066049B"/>
    <w:rsid w:val="00662620"/>
    <w:rsid w:val="00662BB5"/>
    <w:rsid w:val="00664D6A"/>
    <w:rsid w:val="006652F0"/>
    <w:rsid w:val="00666B23"/>
    <w:rsid w:val="00672A6F"/>
    <w:rsid w:val="006748D7"/>
    <w:rsid w:val="00675AA8"/>
    <w:rsid w:val="00680C00"/>
    <w:rsid w:val="006810BF"/>
    <w:rsid w:val="00695008"/>
    <w:rsid w:val="00695EA1"/>
    <w:rsid w:val="006A1B49"/>
    <w:rsid w:val="006A2CCC"/>
    <w:rsid w:val="006A2F92"/>
    <w:rsid w:val="006A2FFF"/>
    <w:rsid w:val="006A3907"/>
    <w:rsid w:val="006A6754"/>
    <w:rsid w:val="006A6F72"/>
    <w:rsid w:val="006C064B"/>
    <w:rsid w:val="006C36CC"/>
    <w:rsid w:val="006D093E"/>
    <w:rsid w:val="006D159E"/>
    <w:rsid w:val="006D553C"/>
    <w:rsid w:val="006D66AC"/>
    <w:rsid w:val="006D79C4"/>
    <w:rsid w:val="006E0AD2"/>
    <w:rsid w:val="006E43AF"/>
    <w:rsid w:val="006E4AAD"/>
    <w:rsid w:val="006F1B7B"/>
    <w:rsid w:val="006F2DCA"/>
    <w:rsid w:val="006F5AE9"/>
    <w:rsid w:val="00701C37"/>
    <w:rsid w:val="007057D7"/>
    <w:rsid w:val="00707D09"/>
    <w:rsid w:val="00710BF6"/>
    <w:rsid w:val="00717F51"/>
    <w:rsid w:val="00724BA0"/>
    <w:rsid w:val="00724F6B"/>
    <w:rsid w:val="00727FBC"/>
    <w:rsid w:val="00730827"/>
    <w:rsid w:val="00742CA6"/>
    <w:rsid w:val="00745CCA"/>
    <w:rsid w:val="00747D53"/>
    <w:rsid w:val="0075071D"/>
    <w:rsid w:val="007513B9"/>
    <w:rsid w:val="0075361F"/>
    <w:rsid w:val="00760DCB"/>
    <w:rsid w:val="00761594"/>
    <w:rsid w:val="0077350B"/>
    <w:rsid w:val="0077583B"/>
    <w:rsid w:val="0078197E"/>
    <w:rsid w:val="0078321B"/>
    <w:rsid w:val="007875FD"/>
    <w:rsid w:val="00793919"/>
    <w:rsid w:val="00795CA0"/>
    <w:rsid w:val="00796AC1"/>
    <w:rsid w:val="007A4272"/>
    <w:rsid w:val="007B0DB0"/>
    <w:rsid w:val="007B211C"/>
    <w:rsid w:val="007B4011"/>
    <w:rsid w:val="007B469C"/>
    <w:rsid w:val="007B4B14"/>
    <w:rsid w:val="007B6AE3"/>
    <w:rsid w:val="007C1182"/>
    <w:rsid w:val="007C42E3"/>
    <w:rsid w:val="007C5868"/>
    <w:rsid w:val="007D1393"/>
    <w:rsid w:val="007D1A34"/>
    <w:rsid w:val="007D3579"/>
    <w:rsid w:val="007E0149"/>
    <w:rsid w:val="007F3DB9"/>
    <w:rsid w:val="007F6A85"/>
    <w:rsid w:val="0080574A"/>
    <w:rsid w:val="00807B2E"/>
    <w:rsid w:val="008122AF"/>
    <w:rsid w:val="00812B38"/>
    <w:rsid w:val="00817E14"/>
    <w:rsid w:val="008203C4"/>
    <w:rsid w:val="00825506"/>
    <w:rsid w:val="00835B79"/>
    <w:rsid w:val="00843595"/>
    <w:rsid w:val="00844F18"/>
    <w:rsid w:val="00850DEB"/>
    <w:rsid w:val="0086028E"/>
    <w:rsid w:val="008634B1"/>
    <w:rsid w:val="0086380B"/>
    <w:rsid w:val="008701D9"/>
    <w:rsid w:val="0087139A"/>
    <w:rsid w:val="008761C4"/>
    <w:rsid w:val="0088375D"/>
    <w:rsid w:val="00883F55"/>
    <w:rsid w:val="00885EC5"/>
    <w:rsid w:val="00886168"/>
    <w:rsid w:val="00886A3E"/>
    <w:rsid w:val="00893BCC"/>
    <w:rsid w:val="00896E9B"/>
    <w:rsid w:val="008A0164"/>
    <w:rsid w:val="008A2DC5"/>
    <w:rsid w:val="008A3A41"/>
    <w:rsid w:val="008A4AF0"/>
    <w:rsid w:val="008A6D31"/>
    <w:rsid w:val="008B1F25"/>
    <w:rsid w:val="008B33B9"/>
    <w:rsid w:val="008B3BB5"/>
    <w:rsid w:val="008B4B9C"/>
    <w:rsid w:val="008C328A"/>
    <w:rsid w:val="008D03FA"/>
    <w:rsid w:val="008D2196"/>
    <w:rsid w:val="008D403D"/>
    <w:rsid w:val="008D4A34"/>
    <w:rsid w:val="008E1F0D"/>
    <w:rsid w:val="008E2AC6"/>
    <w:rsid w:val="008E437C"/>
    <w:rsid w:val="008E685E"/>
    <w:rsid w:val="008F6118"/>
    <w:rsid w:val="008F6914"/>
    <w:rsid w:val="008F6D8C"/>
    <w:rsid w:val="008F7158"/>
    <w:rsid w:val="009025EB"/>
    <w:rsid w:val="00916424"/>
    <w:rsid w:val="009174FF"/>
    <w:rsid w:val="00924066"/>
    <w:rsid w:val="00924D7E"/>
    <w:rsid w:val="0092726D"/>
    <w:rsid w:val="00934B6B"/>
    <w:rsid w:val="00940262"/>
    <w:rsid w:val="0094291F"/>
    <w:rsid w:val="009477FD"/>
    <w:rsid w:val="00952672"/>
    <w:rsid w:val="00954BD4"/>
    <w:rsid w:val="00961237"/>
    <w:rsid w:val="00961E96"/>
    <w:rsid w:val="00962507"/>
    <w:rsid w:val="00967288"/>
    <w:rsid w:val="0096729A"/>
    <w:rsid w:val="00967508"/>
    <w:rsid w:val="009825FD"/>
    <w:rsid w:val="009839AF"/>
    <w:rsid w:val="00994302"/>
    <w:rsid w:val="009955B4"/>
    <w:rsid w:val="009962E5"/>
    <w:rsid w:val="00996932"/>
    <w:rsid w:val="009A062E"/>
    <w:rsid w:val="009A0CB8"/>
    <w:rsid w:val="009A4164"/>
    <w:rsid w:val="009A422C"/>
    <w:rsid w:val="009A6650"/>
    <w:rsid w:val="009A7633"/>
    <w:rsid w:val="009A7F09"/>
    <w:rsid w:val="009B6960"/>
    <w:rsid w:val="009C07A6"/>
    <w:rsid w:val="009C0CF2"/>
    <w:rsid w:val="009C1536"/>
    <w:rsid w:val="009C24B8"/>
    <w:rsid w:val="009C39DF"/>
    <w:rsid w:val="009C3E2C"/>
    <w:rsid w:val="009D37DC"/>
    <w:rsid w:val="009D6C88"/>
    <w:rsid w:val="009E024E"/>
    <w:rsid w:val="009E3394"/>
    <w:rsid w:val="009E523C"/>
    <w:rsid w:val="009F0A96"/>
    <w:rsid w:val="009F31F3"/>
    <w:rsid w:val="00A05D7C"/>
    <w:rsid w:val="00A05FDB"/>
    <w:rsid w:val="00A13E1A"/>
    <w:rsid w:val="00A148F5"/>
    <w:rsid w:val="00A2486C"/>
    <w:rsid w:val="00A2682E"/>
    <w:rsid w:val="00A26AF0"/>
    <w:rsid w:val="00A30667"/>
    <w:rsid w:val="00A330C1"/>
    <w:rsid w:val="00A33D14"/>
    <w:rsid w:val="00A34DA3"/>
    <w:rsid w:val="00A37DD1"/>
    <w:rsid w:val="00A4143D"/>
    <w:rsid w:val="00A44967"/>
    <w:rsid w:val="00A506D7"/>
    <w:rsid w:val="00A702DF"/>
    <w:rsid w:val="00A74A7C"/>
    <w:rsid w:val="00A74D21"/>
    <w:rsid w:val="00A77780"/>
    <w:rsid w:val="00A810BA"/>
    <w:rsid w:val="00A83245"/>
    <w:rsid w:val="00A83569"/>
    <w:rsid w:val="00A864C4"/>
    <w:rsid w:val="00A879D4"/>
    <w:rsid w:val="00A87BC4"/>
    <w:rsid w:val="00A94141"/>
    <w:rsid w:val="00AA3FBF"/>
    <w:rsid w:val="00AB0213"/>
    <w:rsid w:val="00AB1EBA"/>
    <w:rsid w:val="00AB27BC"/>
    <w:rsid w:val="00AB5695"/>
    <w:rsid w:val="00AB587A"/>
    <w:rsid w:val="00AB6C1D"/>
    <w:rsid w:val="00AD1D90"/>
    <w:rsid w:val="00AD2268"/>
    <w:rsid w:val="00AD4163"/>
    <w:rsid w:val="00AE02ED"/>
    <w:rsid w:val="00AE27FE"/>
    <w:rsid w:val="00AE5EDA"/>
    <w:rsid w:val="00AF27B7"/>
    <w:rsid w:val="00AF4B5C"/>
    <w:rsid w:val="00AF623B"/>
    <w:rsid w:val="00B12544"/>
    <w:rsid w:val="00B126F9"/>
    <w:rsid w:val="00B16876"/>
    <w:rsid w:val="00B21EE7"/>
    <w:rsid w:val="00B23283"/>
    <w:rsid w:val="00B245EE"/>
    <w:rsid w:val="00B25FEF"/>
    <w:rsid w:val="00B415C2"/>
    <w:rsid w:val="00B4172F"/>
    <w:rsid w:val="00B43051"/>
    <w:rsid w:val="00B45FAF"/>
    <w:rsid w:val="00B508C4"/>
    <w:rsid w:val="00B51569"/>
    <w:rsid w:val="00B51E95"/>
    <w:rsid w:val="00B7722A"/>
    <w:rsid w:val="00B80F1E"/>
    <w:rsid w:val="00B81C27"/>
    <w:rsid w:val="00B8212B"/>
    <w:rsid w:val="00B84CCE"/>
    <w:rsid w:val="00B863D9"/>
    <w:rsid w:val="00B906B5"/>
    <w:rsid w:val="00B97F4A"/>
    <w:rsid w:val="00BA5666"/>
    <w:rsid w:val="00BA5F78"/>
    <w:rsid w:val="00BA7364"/>
    <w:rsid w:val="00BB05A3"/>
    <w:rsid w:val="00BB0CD5"/>
    <w:rsid w:val="00BB3C9C"/>
    <w:rsid w:val="00BB4064"/>
    <w:rsid w:val="00BC07CC"/>
    <w:rsid w:val="00BC7464"/>
    <w:rsid w:val="00BD03CC"/>
    <w:rsid w:val="00BD19CE"/>
    <w:rsid w:val="00BD7C91"/>
    <w:rsid w:val="00BE0E68"/>
    <w:rsid w:val="00BE63EB"/>
    <w:rsid w:val="00BF0E67"/>
    <w:rsid w:val="00BF3F49"/>
    <w:rsid w:val="00BF6FDF"/>
    <w:rsid w:val="00C034C1"/>
    <w:rsid w:val="00C05C92"/>
    <w:rsid w:val="00C1558A"/>
    <w:rsid w:val="00C21975"/>
    <w:rsid w:val="00C26972"/>
    <w:rsid w:val="00C36034"/>
    <w:rsid w:val="00C37FF6"/>
    <w:rsid w:val="00C4102B"/>
    <w:rsid w:val="00C4750E"/>
    <w:rsid w:val="00C52A41"/>
    <w:rsid w:val="00C571AF"/>
    <w:rsid w:val="00C57BD8"/>
    <w:rsid w:val="00C57EF3"/>
    <w:rsid w:val="00C60E32"/>
    <w:rsid w:val="00C6360A"/>
    <w:rsid w:val="00C63EE1"/>
    <w:rsid w:val="00C657C4"/>
    <w:rsid w:val="00C66B29"/>
    <w:rsid w:val="00C6775A"/>
    <w:rsid w:val="00C7183D"/>
    <w:rsid w:val="00C71AD8"/>
    <w:rsid w:val="00C74FE7"/>
    <w:rsid w:val="00C756A4"/>
    <w:rsid w:val="00C76F62"/>
    <w:rsid w:val="00C80F91"/>
    <w:rsid w:val="00C84995"/>
    <w:rsid w:val="00C93E41"/>
    <w:rsid w:val="00C960D8"/>
    <w:rsid w:val="00CA674E"/>
    <w:rsid w:val="00CA7D62"/>
    <w:rsid w:val="00CB5738"/>
    <w:rsid w:val="00CB7DC7"/>
    <w:rsid w:val="00CC5D0A"/>
    <w:rsid w:val="00CC6C3F"/>
    <w:rsid w:val="00CC7659"/>
    <w:rsid w:val="00CC787F"/>
    <w:rsid w:val="00CD342F"/>
    <w:rsid w:val="00CD3EBA"/>
    <w:rsid w:val="00CD6EF8"/>
    <w:rsid w:val="00CE0FC6"/>
    <w:rsid w:val="00CF09B6"/>
    <w:rsid w:val="00CF0A38"/>
    <w:rsid w:val="00CF0C60"/>
    <w:rsid w:val="00CF146B"/>
    <w:rsid w:val="00CF469C"/>
    <w:rsid w:val="00CF5878"/>
    <w:rsid w:val="00CF6D34"/>
    <w:rsid w:val="00CF7CCE"/>
    <w:rsid w:val="00D00B39"/>
    <w:rsid w:val="00D05FA0"/>
    <w:rsid w:val="00D105D4"/>
    <w:rsid w:val="00D224E3"/>
    <w:rsid w:val="00D244CE"/>
    <w:rsid w:val="00D24F60"/>
    <w:rsid w:val="00D31663"/>
    <w:rsid w:val="00D3480F"/>
    <w:rsid w:val="00D35B54"/>
    <w:rsid w:val="00D3784B"/>
    <w:rsid w:val="00D37AD7"/>
    <w:rsid w:val="00D37C74"/>
    <w:rsid w:val="00D40CE5"/>
    <w:rsid w:val="00D415A3"/>
    <w:rsid w:val="00D426A5"/>
    <w:rsid w:val="00D50590"/>
    <w:rsid w:val="00D5099D"/>
    <w:rsid w:val="00D55E02"/>
    <w:rsid w:val="00D56204"/>
    <w:rsid w:val="00D575BF"/>
    <w:rsid w:val="00D64C18"/>
    <w:rsid w:val="00D70805"/>
    <w:rsid w:val="00D70E31"/>
    <w:rsid w:val="00D75A6F"/>
    <w:rsid w:val="00D84CA3"/>
    <w:rsid w:val="00D936E3"/>
    <w:rsid w:val="00DA7482"/>
    <w:rsid w:val="00DA7D66"/>
    <w:rsid w:val="00DB5150"/>
    <w:rsid w:val="00DB7FD0"/>
    <w:rsid w:val="00DC1582"/>
    <w:rsid w:val="00DC1973"/>
    <w:rsid w:val="00DC5E39"/>
    <w:rsid w:val="00DD26C2"/>
    <w:rsid w:val="00DE4010"/>
    <w:rsid w:val="00DE40D3"/>
    <w:rsid w:val="00DE44A2"/>
    <w:rsid w:val="00DE5285"/>
    <w:rsid w:val="00E01BA4"/>
    <w:rsid w:val="00E027D1"/>
    <w:rsid w:val="00E03BF1"/>
    <w:rsid w:val="00E1616B"/>
    <w:rsid w:val="00E17C32"/>
    <w:rsid w:val="00E23D79"/>
    <w:rsid w:val="00E24FC0"/>
    <w:rsid w:val="00E36894"/>
    <w:rsid w:val="00E40AE9"/>
    <w:rsid w:val="00E43979"/>
    <w:rsid w:val="00E46575"/>
    <w:rsid w:val="00E473E8"/>
    <w:rsid w:val="00E475FE"/>
    <w:rsid w:val="00E55BF6"/>
    <w:rsid w:val="00E55E7A"/>
    <w:rsid w:val="00E62A14"/>
    <w:rsid w:val="00E633E6"/>
    <w:rsid w:val="00E64C05"/>
    <w:rsid w:val="00E7147A"/>
    <w:rsid w:val="00E72578"/>
    <w:rsid w:val="00E72C5F"/>
    <w:rsid w:val="00E81251"/>
    <w:rsid w:val="00E82895"/>
    <w:rsid w:val="00E85C26"/>
    <w:rsid w:val="00E87A8E"/>
    <w:rsid w:val="00E90DAD"/>
    <w:rsid w:val="00E916F2"/>
    <w:rsid w:val="00E95310"/>
    <w:rsid w:val="00EA682B"/>
    <w:rsid w:val="00EB1DF6"/>
    <w:rsid w:val="00EB555A"/>
    <w:rsid w:val="00EC016B"/>
    <w:rsid w:val="00EC1578"/>
    <w:rsid w:val="00EC5982"/>
    <w:rsid w:val="00ED14DF"/>
    <w:rsid w:val="00ED1F2D"/>
    <w:rsid w:val="00ED2FA2"/>
    <w:rsid w:val="00ED7B95"/>
    <w:rsid w:val="00EE4ABB"/>
    <w:rsid w:val="00EE6431"/>
    <w:rsid w:val="00EE6F9E"/>
    <w:rsid w:val="00EE7C2C"/>
    <w:rsid w:val="00EF48A9"/>
    <w:rsid w:val="00EF5266"/>
    <w:rsid w:val="00EF5DA5"/>
    <w:rsid w:val="00EF7B68"/>
    <w:rsid w:val="00F00EAE"/>
    <w:rsid w:val="00F03B5C"/>
    <w:rsid w:val="00F05A91"/>
    <w:rsid w:val="00F1299A"/>
    <w:rsid w:val="00F139D7"/>
    <w:rsid w:val="00F209BC"/>
    <w:rsid w:val="00F2168A"/>
    <w:rsid w:val="00F218B3"/>
    <w:rsid w:val="00F23ED1"/>
    <w:rsid w:val="00F24515"/>
    <w:rsid w:val="00F25FB5"/>
    <w:rsid w:val="00F31BE3"/>
    <w:rsid w:val="00F31C01"/>
    <w:rsid w:val="00F37D2F"/>
    <w:rsid w:val="00F412E7"/>
    <w:rsid w:val="00F4313F"/>
    <w:rsid w:val="00F44022"/>
    <w:rsid w:val="00F4540C"/>
    <w:rsid w:val="00F51641"/>
    <w:rsid w:val="00F54768"/>
    <w:rsid w:val="00F54B88"/>
    <w:rsid w:val="00F670AE"/>
    <w:rsid w:val="00F73384"/>
    <w:rsid w:val="00F76273"/>
    <w:rsid w:val="00F762EE"/>
    <w:rsid w:val="00F81000"/>
    <w:rsid w:val="00F815CB"/>
    <w:rsid w:val="00F826AB"/>
    <w:rsid w:val="00F83229"/>
    <w:rsid w:val="00F85521"/>
    <w:rsid w:val="00F874E3"/>
    <w:rsid w:val="00F908A0"/>
    <w:rsid w:val="00F9157E"/>
    <w:rsid w:val="00F938C7"/>
    <w:rsid w:val="00FA14C7"/>
    <w:rsid w:val="00FA1840"/>
    <w:rsid w:val="00FA23CA"/>
    <w:rsid w:val="00FA4B00"/>
    <w:rsid w:val="00FA57F4"/>
    <w:rsid w:val="00FA68B2"/>
    <w:rsid w:val="00FB1A6D"/>
    <w:rsid w:val="00FB7C79"/>
    <w:rsid w:val="00FD12E6"/>
    <w:rsid w:val="00FD1AFE"/>
    <w:rsid w:val="00FD34D5"/>
    <w:rsid w:val="00FD49A7"/>
    <w:rsid w:val="00FD58FB"/>
    <w:rsid w:val="00FE4652"/>
    <w:rsid w:val="00FE4BA2"/>
    <w:rsid w:val="00FE6AA0"/>
    <w:rsid w:val="00FF025C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91F67-DEFC-4CD4-B7FF-0DC91DB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вправо-1,Абзац списка11,List Paragraph1,Абзац списка111,Bullet List,FooterText,numbered,Подпись рисунка,Маркированный список_уровень1,ПАРАГРАФ,Table-Normal,RSHB_Table-Normal,SL_Абзац списка,Нумерованый список,СпБезКС,lp1,Bullets"/>
    <w:basedOn w:val="a"/>
    <w:link w:val="a5"/>
    <w:uiPriority w:val="34"/>
    <w:qFormat/>
    <w:rsid w:val="00532458"/>
    <w:pPr>
      <w:ind w:left="720"/>
      <w:contextualSpacing/>
    </w:pPr>
  </w:style>
  <w:style w:type="paragraph" w:styleId="a6">
    <w:name w:val="No Spacing"/>
    <w:qFormat/>
    <w:rsid w:val="007B6AE3"/>
    <w:pPr>
      <w:spacing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21B"/>
    <w:rPr>
      <w:rFonts w:ascii="Tahoma" w:hAnsi="Tahoma" w:cs="Tahoma"/>
      <w:sz w:val="16"/>
      <w:szCs w:val="16"/>
    </w:rPr>
  </w:style>
  <w:style w:type="character" w:customStyle="1" w:styleId="CharStyle6">
    <w:name w:val="Char Style 6"/>
    <w:basedOn w:val="a0"/>
    <w:link w:val="Style5"/>
    <w:rsid w:val="006C064B"/>
    <w:rPr>
      <w:sz w:val="27"/>
      <w:szCs w:val="27"/>
      <w:shd w:val="clear" w:color="auto" w:fill="FFFFFF"/>
    </w:rPr>
  </w:style>
  <w:style w:type="character" w:customStyle="1" w:styleId="CharStyle7">
    <w:name w:val="Char Style 7"/>
    <w:basedOn w:val="CharStyle6"/>
    <w:link w:val="Style6"/>
    <w:rsid w:val="006C06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5">
    <w:name w:val="Style 5"/>
    <w:basedOn w:val="a"/>
    <w:link w:val="CharStyle6"/>
    <w:rsid w:val="006C064B"/>
    <w:pPr>
      <w:widowControl w:val="0"/>
      <w:shd w:val="clear" w:color="auto" w:fill="FFFFFF"/>
      <w:spacing w:before="300" w:line="322" w:lineRule="exact"/>
      <w:ind w:firstLine="0"/>
    </w:pPr>
    <w:rPr>
      <w:sz w:val="27"/>
      <w:szCs w:val="27"/>
    </w:rPr>
  </w:style>
  <w:style w:type="character" w:customStyle="1" w:styleId="CharStyle12">
    <w:name w:val="Char Style 12"/>
    <w:basedOn w:val="CharStyle6"/>
    <w:rsid w:val="00B25F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3">
    <w:name w:val="Char Style 13"/>
    <w:basedOn w:val="CharStyle6"/>
    <w:rsid w:val="00F54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5">
    <w:name w:val="Char Style 15"/>
    <w:basedOn w:val="CharStyle6"/>
    <w:link w:val="Style14"/>
    <w:rsid w:val="00604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character" w:customStyle="1" w:styleId="CharStyle14">
    <w:name w:val="Char Style 14"/>
    <w:basedOn w:val="CharStyle6"/>
    <w:rsid w:val="00E4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F9157E"/>
    <w:pPr>
      <w:widowControl w:val="0"/>
      <w:shd w:val="clear" w:color="auto" w:fill="FFFFFF"/>
      <w:spacing w:before="300" w:after="2820" w:line="238" w:lineRule="exact"/>
      <w:ind w:hanging="62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styleId="a9">
    <w:name w:val="header"/>
    <w:basedOn w:val="a"/>
    <w:link w:val="aa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2B1F"/>
  </w:style>
  <w:style w:type="paragraph" w:styleId="ab">
    <w:name w:val="footer"/>
    <w:basedOn w:val="a"/>
    <w:link w:val="ac"/>
    <w:uiPriority w:val="99"/>
    <w:unhideWhenUsed/>
    <w:rsid w:val="000E2B1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2B1F"/>
  </w:style>
  <w:style w:type="character" w:customStyle="1" w:styleId="CharStyle17">
    <w:name w:val="Char Style 17"/>
    <w:basedOn w:val="a0"/>
    <w:link w:val="Style16"/>
    <w:rsid w:val="008A3A41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8A3A41"/>
    <w:pPr>
      <w:widowControl w:val="0"/>
      <w:shd w:val="clear" w:color="auto" w:fill="FFFFFF"/>
      <w:spacing w:line="307" w:lineRule="exact"/>
      <w:ind w:firstLine="0"/>
      <w:jc w:val="center"/>
    </w:pPr>
    <w:rPr>
      <w:sz w:val="27"/>
      <w:szCs w:val="27"/>
    </w:rPr>
  </w:style>
  <w:style w:type="paragraph" w:styleId="ad">
    <w:name w:val="Normal (Web)"/>
    <w:basedOn w:val="a"/>
    <w:uiPriority w:val="99"/>
    <w:semiHidden/>
    <w:unhideWhenUsed/>
    <w:rsid w:val="006A2CCC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A26AF0"/>
    <w:pPr>
      <w:spacing w:line="240" w:lineRule="auto"/>
      <w:ind w:firstLine="51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26A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aliases w:val="Schriftart: 9 pt,Schriftart: 10 pt,Schriftart: 8 pt,Текст сноски Знак1 Знак,Текст сноски Знак Знак Знак,Footnote Text Char Знак Знак,Footnote Text Char Знак,single spa,Texto de nota al pie,Текст сноски Знак Знак Char Char,Table_Footnote_las"/>
    <w:basedOn w:val="a"/>
    <w:link w:val="af1"/>
    <w:uiPriority w:val="99"/>
    <w:qFormat/>
    <w:rsid w:val="00A26AF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 Знак,Texto de nota al pie Знак"/>
    <w:basedOn w:val="a0"/>
    <w:link w:val="af0"/>
    <w:uiPriority w:val="99"/>
    <w:rsid w:val="00A26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057E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 6"/>
    <w:basedOn w:val="a"/>
    <w:link w:val="CharStyle7"/>
    <w:rsid w:val="00F938C7"/>
    <w:pPr>
      <w:widowControl w:val="0"/>
      <w:shd w:val="clear" w:color="auto" w:fill="FFFFFF"/>
      <w:spacing w:before="600" w:after="180" w:line="367" w:lineRule="exact"/>
      <w:ind w:firstLine="0"/>
    </w:pPr>
    <w:rPr>
      <w:rFonts w:ascii="Times New Roman" w:eastAsia="Times New Roman" w:hAnsi="Times New Roman" w:cs="Times New Roman"/>
      <w:color w:val="000000"/>
      <w:sz w:val="27"/>
      <w:szCs w:val="27"/>
      <w:u w:val="single"/>
      <w:lang w:val="ru"/>
    </w:rPr>
  </w:style>
  <w:style w:type="paragraph" w:customStyle="1" w:styleId="Standard">
    <w:name w:val="Standard"/>
    <w:rsid w:val="00F670AE"/>
    <w:pPr>
      <w:suppressAutoHyphens/>
      <w:autoSpaceDN w:val="0"/>
      <w:spacing w:after="200" w:line="276" w:lineRule="auto"/>
      <w:ind w:firstLine="0"/>
      <w:jc w:val="left"/>
    </w:pPr>
    <w:rPr>
      <w:rFonts w:ascii="Calibri" w:eastAsia="SimSun" w:hAnsi="Calibri" w:cs="Calibri"/>
      <w:kern w:val="3"/>
    </w:rPr>
  </w:style>
  <w:style w:type="paragraph" w:customStyle="1" w:styleId="af2">
    <w:name w:val="Стиль ЕЭК"/>
    <w:basedOn w:val="ad"/>
    <w:link w:val="af3"/>
    <w:qFormat/>
    <w:rsid w:val="00967288"/>
    <w:rPr>
      <w:rFonts w:eastAsia="Times New Roman"/>
      <w:sz w:val="30"/>
      <w:szCs w:val="30"/>
      <w:lang w:eastAsia="ru-RU"/>
    </w:rPr>
  </w:style>
  <w:style w:type="character" w:customStyle="1" w:styleId="af3">
    <w:name w:val="Стиль ЕЭК Знак"/>
    <w:link w:val="af2"/>
    <w:rsid w:val="0096728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harStyle5">
    <w:name w:val="Char Style 5"/>
    <w:basedOn w:val="a0"/>
    <w:link w:val="Style4"/>
    <w:rsid w:val="004718CA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4718CA"/>
    <w:pPr>
      <w:widowControl w:val="0"/>
      <w:shd w:val="clear" w:color="auto" w:fill="FFFFFF"/>
      <w:spacing w:before="240" w:after="600" w:line="485" w:lineRule="exact"/>
      <w:ind w:firstLine="0"/>
    </w:pPr>
    <w:rPr>
      <w:sz w:val="27"/>
      <w:szCs w:val="27"/>
    </w:rPr>
  </w:style>
  <w:style w:type="paragraph" w:customStyle="1" w:styleId="af4">
    <w:name w:val="Таблица"/>
    <w:basedOn w:val="a"/>
    <w:qFormat/>
    <w:rsid w:val="004D1A74"/>
    <w:pPr>
      <w:ind w:firstLine="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0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0D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itle"/>
    <w:basedOn w:val="a"/>
    <w:next w:val="a"/>
    <w:link w:val="af6"/>
    <w:rsid w:val="001D29DD"/>
    <w:pPr>
      <w:pBdr>
        <w:bottom w:val="single" w:sz="8" w:space="4" w:color="5B9BD5"/>
      </w:pBdr>
      <w:spacing w:after="300" w:line="240" w:lineRule="auto"/>
      <w:ind w:firstLine="0"/>
      <w:jc w:val="left"/>
    </w:pPr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rsid w:val="001D29DD"/>
    <w:rPr>
      <w:rFonts w:ascii="Calibri" w:eastAsia="Calibri" w:hAnsi="Calibri" w:cs="Calibri"/>
      <w:color w:val="323E4F"/>
      <w:sz w:val="52"/>
      <w:szCs w:val="52"/>
      <w:lang w:eastAsia="ru-RU"/>
    </w:rPr>
  </w:style>
  <w:style w:type="character" w:styleId="af7">
    <w:name w:val="footnote reference"/>
    <w:aliases w:val="Знак сноски 1,Знак сноски-FN,Ciae niinee-FN,Referencia nota al pie,fr,Used by Word for Help footnote symbols,Ciae niinee 1,Ссылка на сноску 45,Footnote Reference Number"/>
    <w:basedOn w:val="a0"/>
    <w:uiPriority w:val="99"/>
    <w:unhideWhenUsed/>
    <w:rsid w:val="00BD03CC"/>
    <w:rPr>
      <w:vertAlign w:val="superscript"/>
    </w:rPr>
  </w:style>
  <w:style w:type="character" w:customStyle="1" w:styleId="a5">
    <w:name w:val="Абзац списка Знак"/>
    <w:aliases w:val="Абзац вправо-1 Знак,Абзац списка11 Знак,List Paragraph1 Знак,Абзац списка111 Знак,Bullet List Знак,FooterText Знак,numbered Знак,Подпись рисунка Знак,Маркированный список_уровень1 Знак,ПАРАГРАФ Знак,Table-Normal Знак,СпБезКС Знак"/>
    <w:link w:val="a4"/>
    <w:uiPriority w:val="34"/>
    <w:qFormat/>
    <w:locked/>
    <w:rsid w:val="00C36034"/>
  </w:style>
  <w:style w:type="character" w:styleId="af8">
    <w:name w:val="Hyperlink"/>
    <w:basedOn w:val="a0"/>
    <w:uiPriority w:val="99"/>
    <w:unhideWhenUsed/>
    <w:rsid w:val="001515FE"/>
    <w:rPr>
      <w:color w:val="0000FF" w:themeColor="hyperlink"/>
      <w:u w:val="single"/>
    </w:rPr>
  </w:style>
  <w:style w:type="paragraph" w:customStyle="1" w:styleId="ConsPlusJurTerm">
    <w:name w:val="ConsPlusJurTerm"/>
    <w:rsid w:val="005E0D4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2F4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/upload/clcr/doklad_8.2.1.pdf" TargetMode="External"/><Relationship Id="rId13" Type="http://schemas.openxmlformats.org/officeDocument/2006/relationships/hyperlink" Target="https://login.consultant.ru/link/?req=doc&amp;base=LAW&amp;n=3121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9344&amp;dst=1000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c.eaeunion.org/upload/medialibrary/d34/NIR_macro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ec.eaeunion.org/upload/medialibrary/30a/obzor-tehnologii-budushe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c.eaeunion.org/upload/medialibrary/5b7/1.1.3-Doklad-forsayt-_8.1.3-_1_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asiancommission.org/ru/act/integr_i_makroec/dep_stat/econstat/Pages/science.aspx" TargetMode="External"/><Relationship Id="rId1" Type="http://schemas.openxmlformats.org/officeDocument/2006/relationships/hyperlink" Target="https://www.wipo.int/edocs/pubdocs/en/wipo-pub-2000-2022-section3-en-gii-2022-results-global-innovation-index-2022-15th-edi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B959-947D-44BF-888B-BB639365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Пугина Светлана Вячеславовна</dc:creator>
  <cp:lastModifiedBy>Козлов Сергей Александрович</cp:lastModifiedBy>
  <cp:revision>11</cp:revision>
  <cp:lastPrinted>2024-03-20T08:28:00Z</cp:lastPrinted>
  <dcterms:created xsi:type="dcterms:W3CDTF">2024-03-22T07:39:00Z</dcterms:created>
  <dcterms:modified xsi:type="dcterms:W3CDTF">2024-04-23T08:27:00Z</dcterms:modified>
</cp:coreProperties>
</file>