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974D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Pr="00F66396" w:rsidRDefault="00F66396" w:rsidP="00AE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решения Высшего Евразийского экономического совета «Об основных ориентирах макроэкономической политики</w:t>
      </w:r>
    </w:p>
    <w:p w:rsidR="00F66396" w:rsidRPr="00F66396" w:rsidRDefault="00F66396" w:rsidP="00AE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государств – членов Евразийского экономического союза</w:t>
      </w:r>
    </w:p>
    <w:p w:rsidR="00F66396" w:rsidRPr="00F66396" w:rsidRDefault="00F66396" w:rsidP="00AE1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на 201</w:t>
      </w:r>
      <w:r w:rsidR="000D5D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201</w:t>
      </w:r>
      <w:r w:rsidR="000D5D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9</w:t>
      </w: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годы»</w:t>
      </w:r>
    </w:p>
    <w:p w:rsidR="00F66396" w:rsidRPr="00F66396" w:rsidRDefault="00F66396" w:rsidP="00F6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bookmarkStart w:id="0" w:name="_GoBack"/>
      <w:bookmarkEnd w:id="0"/>
    </w:p>
    <w:p w:rsidR="00F66396" w:rsidRPr="00F66396" w:rsidRDefault="00F66396" w:rsidP="00F6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66396" w:rsidRPr="00F66396" w:rsidRDefault="00F66396" w:rsidP="00F6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Во исполнение пункта 4 Протокола о проведении согласованной макроэкономической политики (приложение № 14 к Договору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о Евразийском экономическом союзе от 29 мая 2014 года), приняв к сведению отчет о результатах реализации основных ориентиров макроэкономической политики государств – членов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 на 201</w:t>
      </w:r>
      <w:r w:rsidR="00D518AF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201</w:t>
      </w:r>
      <w:r w:rsidR="00D518AF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годы, утвержденных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Решением Высшего Евразийского экономического совета </w:t>
      </w:r>
      <w:r w:rsidR="00FF333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от </w:t>
      </w:r>
      <w:r w:rsidR="00D518AF">
        <w:rPr>
          <w:rFonts w:ascii="Times New Roman" w:eastAsia="Times New Roman" w:hAnsi="Times New Roman" w:cs="Times New Roman"/>
          <w:snapToGrid w:val="0"/>
          <w:sz w:val="30"/>
          <w:szCs w:val="30"/>
        </w:rPr>
        <w:t>14 апреля</w:t>
      </w:r>
      <w:r w:rsidR="00FF333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201</w:t>
      </w:r>
      <w:r w:rsidR="00D518AF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FF333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 </w:t>
      </w:r>
      <w:r w:rsidR="00D518AF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proofErr w:type="gramEnd"/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(прилагается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качестве информационного материала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),</w:t>
      </w:r>
      <w:r w:rsidRPr="00F66396">
        <w:rPr>
          <w:rFonts w:ascii="Times New Roman" w:eastAsia="Times New Roman" w:hAnsi="Times New Roman" w:cs="Times New Roman"/>
          <w:i/>
          <w:snapToGrid w:val="0"/>
          <w:sz w:val="30"/>
          <w:szCs w:val="30"/>
        </w:rPr>
        <w:t xml:space="preserve">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Pr="00AD46CF">
        <w:rPr>
          <w:rFonts w:ascii="Times New Roman Полужирный" w:eastAsia="Times New Roman" w:hAnsi="Times New Roman Полужирный" w:cs="Times New Roman"/>
          <w:b/>
          <w:snapToGrid w:val="0"/>
          <w:spacing w:val="40"/>
          <w:sz w:val="30"/>
          <w:szCs w:val="30"/>
        </w:rPr>
        <w:t>реши</w:t>
      </w:r>
      <w:r w:rsidRPr="00A32562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>л</w:t>
      </w:r>
      <w:r w:rsidRPr="00A3256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:rsidR="00F66396" w:rsidRPr="00F66396" w:rsidRDefault="00F66396" w:rsidP="00F6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1. Одобрить проект решения Высшего Евразийского экономического совета «Об основных ориентирах макроэкономической политики государств – членов Евразийского экономического союза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на 201</w:t>
      </w:r>
      <w:r w:rsidR="0090029E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201</w:t>
      </w:r>
      <w:r w:rsidR="0090029E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годы» (прилагается) и 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представить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для рассмотрения 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>Высшим Евразийским экономическим советом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</w:p>
    <w:p w:rsidR="00F66396" w:rsidRPr="00F66396" w:rsidRDefault="00F66396" w:rsidP="00F663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 Настоящее Решение вступает в силу по истечении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30 календарных дней </w:t>
      </w:r>
      <w:proofErr w:type="gramStart"/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2A79A7" w:rsidRDefault="002A79A7" w:rsidP="00F6639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AD46CF" w:rsidRDefault="002A79A7" w:rsidP="00F6639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64243" w:rsidRDefault="00664243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301CA7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2A79A7" w:rsidRPr="00301CA7" w:rsidRDefault="00301CA7" w:rsidP="00007DFC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A79A7" w:rsidRPr="00301CA7" w:rsidRDefault="00D518AF" w:rsidP="003D1F62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Муканбетов</w:t>
            </w:r>
            <w:proofErr w:type="spellEnd"/>
          </w:p>
        </w:tc>
        <w:tc>
          <w:tcPr>
            <w:tcW w:w="1944" w:type="dxa"/>
            <w:vAlign w:val="bottom"/>
          </w:tcPr>
          <w:p w:rsidR="002A79A7" w:rsidRPr="00301CA7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301CA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D35981" w:rsidRDefault="00D35981" w:rsidP="00125F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AD46CF">
      <w:headerReference w:type="default" r:id="rId8"/>
      <w:headerReference w:type="first" r:id="rId9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83" w:rsidRDefault="00457083" w:rsidP="00AD46CF">
      <w:pPr>
        <w:spacing w:after="0" w:line="240" w:lineRule="auto"/>
      </w:pPr>
      <w:r>
        <w:separator/>
      </w:r>
    </w:p>
  </w:endnote>
  <w:endnote w:type="continuationSeparator" w:id="0">
    <w:p w:rsidR="00457083" w:rsidRDefault="00457083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83" w:rsidRDefault="00457083" w:rsidP="00AD46CF">
      <w:pPr>
        <w:spacing w:after="0" w:line="240" w:lineRule="auto"/>
      </w:pPr>
      <w:r>
        <w:separator/>
      </w:r>
    </w:p>
  </w:footnote>
  <w:footnote w:type="continuationSeparator" w:id="0">
    <w:p w:rsidR="00457083" w:rsidRDefault="00457083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0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076122"/>
      <w:docPartObj>
        <w:docPartGallery w:val="Page Numbers (Top of Page)"/>
        <w:docPartUnique/>
      </w:docPartObj>
    </w:sdtPr>
    <w:sdtEndPr/>
    <w:sdtContent>
      <w:p w:rsidR="00AD46CF" w:rsidRDefault="00AD46CF">
        <w:pPr>
          <w:pStyle w:val="a6"/>
          <w:jc w:val="center"/>
        </w:pPr>
      </w:p>
      <w:p w:rsidR="00AD46CF" w:rsidRDefault="00457083">
        <w:pPr>
          <w:pStyle w:val="a6"/>
          <w:jc w:val="center"/>
        </w:pPr>
      </w:p>
    </w:sdtContent>
  </w:sdt>
  <w:p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3A53"/>
    <w:rsid w:val="000344FA"/>
    <w:rsid w:val="000B1B28"/>
    <w:rsid w:val="000D5DEC"/>
    <w:rsid w:val="00100AC6"/>
    <w:rsid w:val="00190A8F"/>
    <w:rsid w:val="001A0333"/>
    <w:rsid w:val="001D279F"/>
    <w:rsid w:val="001D5759"/>
    <w:rsid w:val="00245E27"/>
    <w:rsid w:val="002A79A7"/>
    <w:rsid w:val="00301CA7"/>
    <w:rsid w:val="00330A25"/>
    <w:rsid w:val="003A7BCA"/>
    <w:rsid w:val="003D1F62"/>
    <w:rsid w:val="00402C42"/>
    <w:rsid w:val="0042763E"/>
    <w:rsid w:val="00457083"/>
    <w:rsid w:val="0045770D"/>
    <w:rsid w:val="004F3203"/>
    <w:rsid w:val="0051767F"/>
    <w:rsid w:val="006535A4"/>
    <w:rsid w:val="00664243"/>
    <w:rsid w:val="006B2DAD"/>
    <w:rsid w:val="006C5192"/>
    <w:rsid w:val="00705A33"/>
    <w:rsid w:val="007F59C5"/>
    <w:rsid w:val="00814923"/>
    <w:rsid w:val="00816DF0"/>
    <w:rsid w:val="008F6263"/>
    <w:rsid w:val="0090029E"/>
    <w:rsid w:val="00906207"/>
    <w:rsid w:val="009F5B7D"/>
    <w:rsid w:val="00A32562"/>
    <w:rsid w:val="00A74B21"/>
    <w:rsid w:val="00AC5200"/>
    <w:rsid w:val="00AD46CF"/>
    <w:rsid w:val="00AE078C"/>
    <w:rsid w:val="00AE10E0"/>
    <w:rsid w:val="00AE749C"/>
    <w:rsid w:val="00BE1ADB"/>
    <w:rsid w:val="00C10BE6"/>
    <w:rsid w:val="00C67E60"/>
    <w:rsid w:val="00CF4EB1"/>
    <w:rsid w:val="00D35981"/>
    <w:rsid w:val="00D518AF"/>
    <w:rsid w:val="00DA2C20"/>
    <w:rsid w:val="00DF1646"/>
    <w:rsid w:val="00E4361A"/>
    <w:rsid w:val="00E453BD"/>
    <w:rsid w:val="00EA4C28"/>
    <w:rsid w:val="00EA5DAD"/>
    <w:rsid w:val="00F254E6"/>
    <w:rsid w:val="00F54793"/>
    <w:rsid w:val="00F66396"/>
    <w:rsid w:val="00F7730D"/>
    <w:rsid w:val="00FB714B"/>
    <w:rsid w:val="00FC5F9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3451F"/>
    <w:rsid w:val="000C238C"/>
    <w:rsid w:val="00214A57"/>
    <w:rsid w:val="0036667E"/>
    <w:rsid w:val="003B3EEB"/>
    <w:rsid w:val="003E726B"/>
    <w:rsid w:val="00661AE4"/>
    <w:rsid w:val="00997CD2"/>
    <w:rsid w:val="00A675AF"/>
    <w:rsid w:val="00E97CB8"/>
    <w:rsid w:val="00F8413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Наталья Александровна</dc:creator>
  <cp:lastModifiedBy>Филина Наталья Александровна</cp:lastModifiedBy>
  <cp:revision>6</cp:revision>
  <cp:lastPrinted>2018-03-02T10:47:00Z</cp:lastPrinted>
  <dcterms:created xsi:type="dcterms:W3CDTF">2018-02-21T11:03:00Z</dcterms:created>
  <dcterms:modified xsi:type="dcterms:W3CDTF">2018-03-02T10:47:00Z</dcterms:modified>
</cp:coreProperties>
</file>