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3888463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4F3203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2CF71D6" wp14:editId="0B4ED1FF">
                <wp:extent cx="1112692" cy="714375"/>
                <wp:effectExtent l="0" t="0" r="0" b="0"/>
                <wp:docPr id="4" name="Рисунок 4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69DAE067" wp14:editId="0CDFB52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КОМЕНДАЦИЯ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670AD" w:rsidRPr="00912AA3" w:rsidRDefault="005670AD" w:rsidP="005670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6BF9">
        <w:rPr>
          <w:rFonts w:ascii="Times New Roman" w:hAnsi="Times New Roman" w:cs="Times New Roman"/>
          <w:b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sz w:val="30"/>
          <w:szCs w:val="30"/>
        </w:rPr>
        <w:t xml:space="preserve">мерах по стимулированию спроса на </w:t>
      </w:r>
      <w:r w:rsidRPr="00912AA3">
        <w:rPr>
          <w:rFonts w:ascii="Times New Roman" w:hAnsi="Times New Roman" w:cs="Times New Roman"/>
          <w:b/>
          <w:sz w:val="30"/>
          <w:szCs w:val="30"/>
        </w:rPr>
        <w:t>машин</w:t>
      </w:r>
      <w:r>
        <w:rPr>
          <w:rFonts w:ascii="Times New Roman" w:hAnsi="Times New Roman" w:cs="Times New Roman"/>
          <w:b/>
          <w:sz w:val="30"/>
          <w:szCs w:val="30"/>
        </w:rPr>
        <w:t xml:space="preserve">ы </w:t>
      </w:r>
      <w:r w:rsidRPr="00912AA3">
        <w:rPr>
          <w:rFonts w:ascii="Times New Roman" w:hAnsi="Times New Roman" w:cs="Times New Roman"/>
          <w:b/>
          <w:sz w:val="30"/>
          <w:szCs w:val="30"/>
        </w:rPr>
        <w:t>и оборудовани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912AA3">
        <w:rPr>
          <w:rFonts w:ascii="Times New Roman" w:hAnsi="Times New Roman" w:cs="Times New Roman"/>
          <w:b/>
          <w:sz w:val="30"/>
          <w:szCs w:val="30"/>
        </w:rPr>
        <w:t>для сельского хозяйства</w:t>
      </w:r>
      <w:r>
        <w:rPr>
          <w:rFonts w:ascii="Times New Roman" w:hAnsi="Times New Roman" w:cs="Times New Roman"/>
          <w:b/>
          <w:sz w:val="30"/>
          <w:szCs w:val="30"/>
        </w:rPr>
        <w:t xml:space="preserve">, произведенные в государствах </w:t>
      </w:r>
      <w:r w:rsidRPr="00E80B8B">
        <w:rPr>
          <w:rFonts w:ascii="Times New Roman" w:hAnsi="Times New Roman" w:cs="Times New Roman"/>
          <w:b/>
          <w:sz w:val="30"/>
          <w:szCs w:val="30"/>
        </w:rPr>
        <w:t xml:space="preserve">– членах </w:t>
      </w:r>
      <w:r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</w:p>
    <w:p w:rsidR="005670AD" w:rsidRPr="0019167B" w:rsidRDefault="005670AD" w:rsidP="005670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5670AD" w:rsidRDefault="005670AD" w:rsidP="005670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A1A6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абзацем вторым подпункта 2 пункта 2 Протокола о промышленном сотрудничестве (приложение №</w:t>
      </w:r>
      <w:r w:rsidR="002A24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A1A6A">
        <w:rPr>
          <w:rFonts w:ascii="Times New Roman" w:eastAsia="Times New Roman" w:hAnsi="Times New Roman" w:cs="Times New Roman"/>
          <w:sz w:val="30"/>
          <w:szCs w:val="30"/>
          <w:lang w:eastAsia="ru-RU"/>
        </w:rPr>
        <w:t>27 к Договору о Евразийском экономическом союзе от 29 мая 2014 года)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5670AD" w:rsidRPr="000401F7" w:rsidRDefault="005670AD" w:rsidP="005670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 w:rsidRPr="000401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Pr="000401F7">
        <w:rPr>
          <w:rFonts w:ascii="Times New Roman" w:eastAsia="Times New Roman" w:hAnsi="Times New Roman" w:cs="Times New Roman"/>
          <w:sz w:val="30"/>
          <w:szCs w:val="30"/>
          <w:lang w:eastAsia="ru-RU"/>
        </w:rPr>
        <w:t>2 Решения Евразийского межправительственного совета от 29 мая 2015 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0401F7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A104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401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 «О создании условий для развития производства </w:t>
      </w:r>
      <w:r w:rsidRPr="00FC773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 и оборудования для сельского хозяйства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0401F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5670AD" w:rsidRDefault="005670AD" w:rsidP="005670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стимулирования спроса на </w:t>
      </w:r>
      <w:r w:rsidRPr="00FC773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</w:t>
      </w:r>
      <w:r w:rsidRPr="00FC7736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оборудовани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</w:t>
      </w:r>
      <w:r w:rsidRPr="00FC773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сельского хозяйства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произведенные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государства-члены)</w:t>
      </w:r>
    </w:p>
    <w:p w:rsidR="005670AD" w:rsidRPr="00544B54" w:rsidRDefault="005670AD" w:rsidP="005670A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рекомендует</w:t>
      </w:r>
      <w:r w:rsidRPr="006F4000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государствам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членам</w:t>
      </w:r>
      <w:r w:rsidRPr="00D309AA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 даты опубликования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настоящей Рекомендации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оюза в информационно-телекоммуникационной сети «Интернет»</w:t>
      </w:r>
      <w:r w:rsidR="002A24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проанализировать возможность</w:t>
      </w:r>
      <w:r w:rsidRPr="00544B54">
        <w:rPr>
          <w:rFonts w:ascii="Times New Roman" w:eastAsia="Calibri" w:hAnsi="Times New Roman" w:cs="Times New Roman"/>
          <w:sz w:val="30"/>
          <w:szCs w:val="30"/>
        </w:rPr>
        <w:t>:</w:t>
      </w:r>
    </w:p>
    <w:p w:rsidR="005670AD" w:rsidRPr="00B92939" w:rsidRDefault="005670AD" w:rsidP="00567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2939">
        <w:rPr>
          <w:rFonts w:ascii="Times New Roman" w:eastAsia="Calibri" w:hAnsi="Times New Roman" w:cs="Times New Roman"/>
          <w:sz w:val="30"/>
          <w:szCs w:val="30"/>
        </w:rPr>
        <w:lastRenderedPageBreak/>
        <w:t>оптимизации условий предоставления машин и оборудования для сельского хозяйства в лизинг (срок лизинга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B92939">
        <w:rPr>
          <w:rFonts w:ascii="Times New Roman" w:eastAsia="Calibri" w:hAnsi="Times New Roman" w:cs="Times New Roman"/>
          <w:sz w:val="30"/>
          <w:szCs w:val="30"/>
        </w:rPr>
        <w:t xml:space="preserve"> годовое вознаграждение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B92939">
        <w:rPr>
          <w:rFonts w:ascii="Times New Roman" w:eastAsia="Calibri" w:hAnsi="Times New Roman" w:cs="Times New Roman"/>
          <w:sz w:val="30"/>
          <w:szCs w:val="30"/>
        </w:rPr>
        <w:t>дополнительные скидки), позволяющи</w:t>
      </w:r>
      <w:r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B92939">
        <w:rPr>
          <w:rFonts w:ascii="Times New Roman" w:eastAsia="Calibri" w:hAnsi="Times New Roman" w:cs="Times New Roman"/>
          <w:sz w:val="30"/>
          <w:szCs w:val="30"/>
        </w:rPr>
        <w:t xml:space="preserve">снизить финансовую нагрузку на производителей сельскохозяйственной продукции; </w:t>
      </w:r>
    </w:p>
    <w:p w:rsidR="005670AD" w:rsidRPr="00B92939" w:rsidRDefault="005670AD" w:rsidP="00567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2939">
        <w:rPr>
          <w:rFonts w:ascii="Times New Roman" w:eastAsia="Calibri" w:hAnsi="Times New Roman" w:cs="Times New Roman"/>
          <w:sz w:val="30"/>
          <w:szCs w:val="30"/>
        </w:rPr>
        <w:t>разработки механизма предоставления кредитным организациям субсидий на возмещение выпадающих доходов по кредитам, выданным на приобретение машин и оборудования для сельского хозяйства</w:t>
      </w:r>
      <w:r w:rsidR="002A24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A24E0">
        <w:rPr>
          <w:rFonts w:ascii="Times New Roman" w:eastAsia="Calibri" w:hAnsi="Times New Roman" w:cs="Times New Roman"/>
          <w:sz w:val="30"/>
          <w:szCs w:val="30"/>
        </w:rPr>
        <w:br/>
        <w:t xml:space="preserve">и </w:t>
      </w:r>
      <w:r w:rsidRPr="00B92939">
        <w:rPr>
          <w:rFonts w:ascii="Times New Roman" w:eastAsia="Calibri" w:hAnsi="Times New Roman" w:cs="Times New Roman"/>
          <w:sz w:val="30"/>
          <w:szCs w:val="30"/>
        </w:rPr>
        <w:t>их комплектующих;</w:t>
      </w:r>
    </w:p>
    <w:p w:rsidR="005670AD" w:rsidRPr="00B92939" w:rsidRDefault="005670AD" w:rsidP="00567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2939">
        <w:rPr>
          <w:rFonts w:ascii="Times New Roman" w:eastAsia="Calibri" w:hAnsi="Times New Roman" w:cs="Times New Roman"/>
          <w:sz w:val="30"/>
          <w:szCs w:val="30"/>
        </w:rPr>
        <w:t>организации работы по производству машин и оборудования для сельского хозяйства, не производимых в государствах-членах;</w:t>
      </w:r>
    </w:p>
    <w:p w:rsidR="005670AD" w:rsidRPr="00B92939" w:rsidRDefault="005670AD" w:rsidP="00567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2939">
        <w:rPr>
          <w:rFonts w:ascii="Times New Roman" w:eastAsia="Calibri" w:hAnsi="Times New Roman" w:cs="Times New Roman"/>
          <w:sz w:val="30"/>
          <w:szCs w:val="30"/>
        </w:rPr>
        <w:t>разработки механизмов предоставления государственной поддержки производителям машин и оборудования для сельского хозяйства в зависимости от соответствия выпускаемой ими продукции критериям экономической эффективности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 перечню согласно приложению</w:t>
      </w:r>
      <w:r w:rsidRPr="00B92939">
        <w:rPr>
          <w:rFonts w:ascii="Times New Roman" w:eastAsia="Calibri" w:hAnsi="Times New Roman" w:cs="Times New Roman"/>
          <w:sz w:val="30"/>
          <w:szCs w:val="30"/>
        </w:rPr>
        <w:t>;</w:t>
      </w:r>
    </w:p>
    <w:p w:rsidR="005670AD" w:rsidRPr="00B92939" w:rsidRDefault="005670AD" w:rsidP="00567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2939">
        <w:rPr>
          <w:rFonts w:ascii="Times New Roman" w:eastAsia="Calibri" w:hAnsi="Times New Roman" w:cs="Times New Roman"/>
          <w:sz w:val="30"/>
          <w:szCs w:val="30"/>
        </w:rPr>
        <w:t xml:space="preserve">обеспечения электронного учета машин и оборудования для сельского хозяйства в целях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проведения </w:t>
      </w:r>
      <w:r w:rsidRPr="00B92939">
        <w:rPr>
          <w:rFonts w:ascii="Times New Roman" w:eastAsia="Calibri" w:hAnsi="Times New Roman" w:cs="Times New Roman"/>
          <w:sz w:val="30"/>
          <w:szCs w:val="30"/>
        </w:rPr>
        <w:t xml:space="preserve">мониторинга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их применения на </w:t>
      </w:r>
      <w:r w:rsidRPr="00B92939">
        <w:rPr>
          <w:rFonts w:ascii="Times New Roman" w:eastAsia="Calibri" w:hAnsi="Times New Roman" w:cs="Times New Roman"/>
          <w:sz w:val="30"/>
          <w:szCs w:val="30"/>
        </w:rPr>
        <w:t>территори</w:t>
      </w:r>
      <w:r>
        <w:rPr>
          <w:rFonts w:ascii="Times New Roman" w:eastAsia="Calibri" w:hAnsi="Times New Roman" w:cs="Times New Roman"/>
          <w:sz w:val="30"/>
          <w:szCs w:val="30"/>
        </w:rPr>
        <w:t xml:space="preserve">ях </w:t>
      </w:r>
      <w:r w:rsidRPr="00B92939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FE536D" w:rsidRDefault="00FE536D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E536D" w:rsidRPr="00FF38FD" w:rsidRDefault="00FE536D" w:rsidP="00FE536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FE536D" w:rsidRPr="00DE47EF" w:rsidRDefault="00FE536D" w:rsidP="00FE536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FE536D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FE536D" w:rsidRPr="00E450EA" w:rsidRDefault="00FE536D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FE536D" w:rsidRPr="00E450EA" w:rsidRDefault="00FE536D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FE536D" w:rsidRPr="00E450EA" w:rsidRDefault="00FE536D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FE536D" w:rsidRPr="00E450EA" w:rsidRDefault="00FE536D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FE536D" w:rsidRPr="00E450EA" w:rsidRDefault="00FE536D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FE536D" w:rsidRPr="00AE77CF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FE536D" w:rsidRPr="00E450EA" w:rsidRDefault="00FE536D" w:rsidP="00036FA8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FE536D" w:rsidRPr="00EC32CB" w:rsidRDefault="00EC32CB" w:rsidP="00EC32CB">
            <w:pPr>
              <w:spacing w:after="0" w:line="240" w:lineRule="auto"/>
              <w:ind w:left="-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C32C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 Панкратов</w:t>
            </w:r>
          </w:p>
        </w:tc>
        <w:tc>
          <w:tcPr>
            <w:tcW w:w="1944" w:type="dxa"/>
            <w:vAlign w:val="bottom"/>
          </w:tcPr>
          <w:p w:rsidR="00FE536D" w:rsidRPr="00E450EA" w:rsidRDefault="00FE536D" w:rsidP="00036FA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FE536D" w:rsidRDefault="00FE536D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E536D" w:rsidRDefault="00FE536D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FE536D" w:rsidSect="002A24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A3" w:rsidRDefault="007B4DA3" w:rsidP="002A24E0">
      <w:pPr>
        <w:spacing w:after="0" w:line="240" w:lineRule="auto"/>
      </w:pPr>
      <w:r>
        <w:separator/>
      </w:r>
    </w:p>
  </w:endnote>
  <w:endnote w:type="continuationSeparator" w:id="0">
    <w:p w:rsidR="007B4DA3" w:rsidRDefault="007B4DA3" w:rsidP="002A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A3" w:rsidRDefault="007B4DA3" w:rsidP="002A24E0">
      <w:pPr>
        <w:spacing w:after="0" w:line="240" w:lineRule="auto"/>
      </w:pPr>
      <w:r>
        <w:separator/>
      </w:r>
    </w:p>
  </w:footnote>
  <w:footnote w:type="continuationSeparator" w:id="0">
    <w:p w:rsidR="007B4DA3" w:rsidRDefault="007B4DA3" w:rsidP="002A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958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A24E0" w:rsidRPr="002A24E0" w:rsidRDefault="002A24E0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A24E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A24E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A24E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E410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A24E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A24E0" w:rsidRDefault="002A24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152E"/>
    <w:rsid w:val="00190A8F"/>
    <w:rsid w:val="001A0333"/>
    <w:rsid w:val="002A24E0"/>
    <w:rsid w:val="003A7BCA"/>
    <w:rsid w:val="004F193B"/>
    <w:rsid w:val="004F3203"/>
    <w:rsid w:val="005670AD"/>
    <w:rsid w:val="006535A4"/>
    <w:rsid w:val="007B4DA3"/>
    <w:rsid w:val="007F6C39"/>
    <w:rsid w:val="00A10402"/>
    <w:rsid w:val="00A705BB"/>
    <w:rsid w:val="00C33E1E"/>
    <w:rsid w:val="00C67E60"/>
    <w:rsid w:val="00CE4108"/>
    <w:rsid w:val="00EC32CB"/>
    <w:rsid w:val="00F254E6"/>
    <w:rsid w:val="00F54793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05BB"/>
    <w:rPr>
      <w:color w:val="808080"/>
    </w:rPr>
  </w:style>
  <w:style w:type="paragraph" w:styleId="a6">
    <w:name w:val="header"/>
    <w:basedOn w:val="a"/>
    <w:link w:val="a7"/>
    <w:uiPriority w:val="99"/>
    <w:unhideWhenUsed/>
    <w:rsid w:val="002A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4E0"/>
  </w:style>
  <w:style w:type="paragraph" w:styleId="a8">
    <w:name w:val="footer"/>
    <w:basedOn w:val="a"/>
    <w:link w:val="a9"/>
    <w:uiPriority w:val="99"/>
    <w:unhideWhenUsed/>
    <w:rsid w:val="002A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05BB"/>
    <w:rPr>
      <w:color w:val="808080"/>
    </w:rPr>
  </w:style>
  <w:style w:type="paragraph" w:styleId="a6">
    <w:name w:val="header"/>
    <w:basedOn w:val="a"/>
    <w:link w:val="a7"/>
    <w:uiPriority w:val="99"/>
    <w:unhideWhenUsed/>
    <w:rsid w:val="002A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4E0"/>
  </w:style>
  <w:style w:type="paragraph" w:styleId="a8">
    <w:name w:val="footer"/>
    <w:basedOn w:val="a"/>
    <w:link w:val="a9"/>
    <w:uiPriority w:val="99"/>
    <w:unhideWhenUsed/>
    <w:rsid w:val="002A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E5D66-05FC-4BD2-A8DC-1CB6801AB944}"/>
      </w:docPartPr>
      <w:docPartBody>
        <w:p w:rsidR="007A0B70" w:rsidRDefault="00932D7A">
          <w:r w:rsidRPr="00856D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7A"/>
    <w:rsid w:val="003A5970"/>
    <w:rsid w:val="0053248F"/>
    <w:rsid w:val="00597C83"/>
    <w:rsid w:val="007A0B70"/>
    <w:rsid w:val="007E2BD5"/>
    <w:rsid w:val="008C643E"/>
    <w:rsid w:val="0093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BD5"/>
  </w:style>
  <w:style w:type="paragraph" w:customStyle="1" w:styleId="057B7802188D40B19AC715DDF0AA2268">
    <w:name w:val="057B7802188D40B19AC715DDF0AA2268"/>
    <w:rsid w:val="007E2B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BD5"/>
  </w:style>
  <w:style w:type="paragraph" w:customStyle="1" w:styleId="057B7802188D40B19AC715DDF0AA2268">
    <w:name w:val="057B7802188D40B19AC715DDF0AA2268"/>
    <w:rsid w:val="007E2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2016-03-10T15:48:44+00:00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98F61192-5EAC-45D2-AFEA-A4E43E8DD9C7}"/>
</file>

<file path=customXml/itemProps2.xml><?xml version="1.0" encoding="utf-8"?>
<ds:datastoreItem xmlns:ds="http://schemas.openxmlformats.org/officeDocument/2006/customXml" ds:itemID="{6A26A375-B0DA-4A2F-A58F-FF5D14514133}"/>
</file>

<file path=customXml/itemProps3.xml><?xml version="1.0" encoding="utf-8"?>
<ds:datastoreItem xmlns:ds="http://schemas.openxmlformats.org/officeDocument/2006/customXml" ds:itemID="{1A62E7AC-36D8-4D8F-934A-90E98A6711DB}"/>
</file>

<file path=customXml/itemProps4.xml><?xml version="1.0" encoding="utf-8"?>
<ds:datastoreItem xmlns:ds="http://schemas.openxmlformats.org/officeDocument/2006/customXml" ds:itemID="{3F623911-6EE0-4A14-809E-2036A1CF2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стимулированию спроса на машины и оборудование для сельского хозяйства, произведенные в государствах – членах Евразийского экономического союза</dc:title>
  <cp:lastModifiedBy>Власов Александр Юрьевич</cp:lastModifiedBy>
  <cp:revision>11</cp:revision>
  <cp:lastPrinted>2014-11-14T09:49:00Z</cp:lastPrinted>
  <dcterms:created xsi:type="dcterms:W3CDTF">2014-11-14T10:53:00Z</dcterms:created>
  <dcterms:modified xsi:type="dcterms:W3CDTF">2016-03-09T14:21:00Z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