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386"/>
      </w:tblGrid>
      <w:tr w:rsidR="003070FE" w:rsidRPr="00B83F35" w14:paraId="061E1961" w14:textId="77777777" w:rsidTr="00B83F35">
        <w:trPr>
          <w:cantSplit/>
          <w:tblHeader/>
          <w:jc w:val="center"/>
        </w:trPr>
        <w:tc>
          <w:tcPr>
            <w:tcW w:w="4103" w:type="dxa"/>
            <w:shd w:val="clear" w:color="auto" w:fill="auto"/>
            <w:tcMar>
              <w:top w:w="85" w:type="dxa"/>
              <w:bottom w:w="85" w:type="dxa"/>
            </w:tcMar>
          </w:tcPr>
          <w:p w14:paraId="28906EE5" w14:textId="77777777" w:rsidR="003070FE" w:rsidRPr="00B83F35" w:rsidRDefault="003070FE" w:rsidP="00B83F35">
            <w:pPr>
              <w:keepNext/>
              <w:keepLines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/>
                <w:b/>
                <w:caps/>
                <w:color w:val="000000"/>
                <w:spacing w:val="30"/>
                <w:sz w:val="30"/>
                <w:szCs w:val="30"/>
                <w:lang w:eastAsia="ru-RU"/>
              </w:rPr>
            </w:pPr>
          </w:p>
        </w:tc>
        <w:tc>
          <w:tcPr>
            <w:tcW w:w="5468" w:type="dxa"/>
            <w:shd w:val="clear" w:color="auto" w:fill="auto"/>
            <w:tcMar>
              <w:top w:w="85" w:type="dxa"/>
              <w:bottom w:w="85" w:type="dxa"/>
            </w:tcMar>
          </w:tcPr>
          <w:p w14:paraId="47FB133E" w14:textId="77777777" w:rsidR="003070FE" w:rsidRPr="00B83F35" w:rsidRDefault="003070FE" w:rsidP="00B83F35">
            <w:pPr>
              <w:keepNext/>
              <w:keepLines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/>
                <w:b/>
                <w:caps/>
                <w:color w:val="000000"/>
                <w:spacing w:val="30"/>
                <w:sz w:val="30"/>
                <w:szCs w:val="30"/>
                <w:lang w:eastAsia="ru-RU"/>
              </w:rPr>
            </w:pPr>
            <w:r w:rsidRPr="00B83F35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УТВЕРЖДЕН</w:t>
            </w:r>
          </w:p>
        </w:tc>
      </w:tr>
      <w:tr w:rsidR="003070FE" w:rsidRPr="00B83F35" w14:paraId="5F0B52A0" w14:textId="77777777" w:rsidTr="00B83F35">
        <w:trPr>
          <w:jc w:val="center"/>
        </w:trPr>
        <w:tc>
          <w:tcPr>
            <w:tcW w:w="4103" w:type="dxa"/>
            <w:shd w:val="clear" w:color="auto" w:fill="auto"/>
            <w:tcMar>
              <w:top w:w="85" w:type="dxa"/>
              <w:bottom w:w="85" w:type="dxa"/>
            </w:tcMar>
          </w:tcPr>
          <w:p w14:paraId="4BC04846" w14:textId="77777777" w:rsidR="003070FE" w:rsidRPr="00B83F35" w:rsidRDefault="003070FE" w:rsidP="00B83F35">
            <w:pPr>
              <w:keepNext/>
              <w:keepLines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/>
                <w:b/>
                <w:caps/>
                <w:color w:val="000000"/>
                <w:spacing w:val="30"/>
                <w:sz w:val="30"/>
                <w:szCs w:val="30"/>
                <w:lang w:eastAsia="ru-RU"/>
              </w:rPr>
            </w:pPr>
          </w:p>
        </w:tc>
        <w:tc>
          <w:tcPr>
            <w:tcW w:w="5468" w:type="dxa"/>
            <w:shd w:val="clear" w:color="auto" w:fill="auto"/>
            <w:tcMar>
              <w:top w:w="85" w:type="dxa"/>
              <w:bottom w:w="85" w:type="dxa"/>
            </w:tcMar>
          </w:tcPr>
          <w:p w14:paraId="2AA17B73" w14:textId="77777777" w:rsidR="003070FE" w:rsidRPr="00B83F35" w:rsidRDefault="003070FE" w:rsidP="00B83F3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x-none"/>
              </w:rPr>
            </w:pPr>
            <w:r w:rsidRPr="00B83F35">
              <w:rPr>
                <w:rFonts w:ascii="Times New Roman" w:eastAsia="Times New Roman" w:hAnsi="Times New Roman"/>
                <w:sz w:val="30"/>
                <w:szCs w:val="30"/>
                <w:lang w:eastAsia="x-none"/>
              </w:rPr>
              <w:t>Решением Коллегии</w:t>
            </w:r>
            <w:r w:rsidRPr="00B83F35">
              <w:rPr>
                <w:rFonts w:ascii="Times New Roman" w:eastAsia="Times New Roman" w:hAnsi="Times New Roman"/>
                <w:sz w:val="30"/>
                <w:szCs w:val="30"/>
                <w:lang w:eastAsia="x-none"/>
              </w:rPr>
              <w:br/>
              <w:t>Евразийской экономической комиссии</w:t>
            </w:r>
          </w:p>
          <w:p w14:paraId="1009B256" w14:textId="77777777" w:rsidR="003070FE" w:rsidRPr="00B83F35" w:rsidRDefault="003070FE" w:rsidP="00B83F35">
            <w:pPr>
              <w:keepNext/>
              <w:keepLines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/>
                <w:b/>
                <w:caps/>
                <w:color w:val="000000"/>
                <w:spacing w:val="30"/>
                <w:sz w:val="30"/>
                <w:szCs w:val="30"/>
                <w:lang w:eastAsia="ru-RU"/>
              </w:rPr>
            </w:pPr>
            <w:proofErr w:type="gramStart"/>
            <w:r w:rsidRPr="00B83F35">
              <w:rPr>
                <w:rFonts w:ascii="Times New Roman" w:eastAsia="Times New Roman" w:hAnsi="Times New Roman"/>
                <w:sz w:val="30"/>
                <w:szCs w:val="30"/>
                <w:lang w:eastAsia="x-none"/>
              </w:rPr>
              <w:t>от</w:t>
            </w:r>
            <w:proofErr w:type="gramEnd"/>
            <w:r w:rsidRPr="00B83F35">
              <w:rPr>
                <w:rFonts w:ascii="Times New Roman" w:eastAsia="Times New Roman" w:hAnsi="Times New Roman"/>
                <w:sz w:val="30"/>
                <w:szCs w:val="30"/>
                <w:lang w:eastAsia="x-none"/>
              </w:rPr>
              <w:t xml:space="preserve">                       20     г. №        </w:t>
            </w:r>
          </w:p>
        </w:tc>
      </w:tr>
    </w:tbl>
    <w:p w14:paraId="506DA59B" w14:textId="77777777" w:rsidR="003070FE" w:rsidRPr="00C457BD" w:rsidRDefault="003070FE" w:rsidP="007B29FD">
      <w:pPr>
        <w:pStyle w:val="a8"/>
        <w:spacing w:before="0"/>
        <w:rPr>
          <w:rFonts w:ascii="Times New Roman" w:hAnsi="Times New Roman"/>
        </w:rPr>
      </w:pPr>
    </w:p>
    <w:p w14:paraId="19771137" w14:textId="77777777" w:rsidR="003070FE" w:rsidRPr="00C457BD" w:rsidRDefault="003070FE" w:rsidP="007B29FD">
      <w:pPr>
        <w:pStyle w:val="a8"/>
        <w:spacing w:before="0"/>
        <w:rPr>
          <w:rFonts w:ascii="Times New Roman" w:hAnsi="Times New Roman"/>
        </w:rPr>
      </w:pPr>
    </w:p>
    <w:p w14:paraId="07DC1FA9" w14:textId="77777777" w:rsidR="007B29FD" w:rsidRPr="00C457BD" w:rsidRDefault="007B29FD" w:rsidP="007B29FD">
      <w:pPr>
        <w:pStyle w:val="a8"/>
        <w:spacing w:before="0"/>
        <w:rPr>
          <w:rFonts w:ascii="Times New Roman" w:hAnsi="Times New Roman"/>
        </w:rPr>
      </w:pPr>
      <w:r>
        <w:t>Порядок</w:t>
      </w:r>
    </w:p>
    <w:p w14:paraId="22B73E1C" w14:textId="77777777" w:rsidR="007B29FD" w:rsidRDefault="007B29FD" w:rsidP="007B29FD">
      <w:pPr>
        <w:pStyle w:val="a7"/>
        <w:spacing w:after="0"/>
      </w:pPr>
      <w:r>
        <w:t xml:space="preserve">присоединения к общему процессу </w:t>
      </w:r>
      <w:r w:rsidR="00556EE6">
        <w:br/>
      </w:r>
      <w:r>
        <w:t>«</w:t>
      </w:r>
      <w:r>
        <w:rPr>
          <w:noProof/>
        </w:rPr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</w:t>
      </w:r>
      <w:r w:rsidR="00F201C3">
        <w:rPr>
          <w:noProof/>
        </w:rPr>
        <w:br/>
      </w:r>
      <w:r>
        <w:rPr>
          <w:noProof/>
        </w:rPr>
        <w:t>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>
        <w:t>»</w:t>
      </w:r>
    </w:p>
    <w:p w14:paraId="6AD675FC" w14:textId="77777777" w:rsidR="0084512F" w:rsidRDefault="0084512F" w:rsidP="007B29FD">
      <w:pPr>
        <w:pStyle w:val="a7"/>
        <w:spacing w:after="0"/>
      </w:pPr>
    </w:p>
    <w:p w14:paraId="40793F21" w14:textId="77777777" w:rsidR="007B29FD" w:rsidRPr="00EA1C0E" w:rsidRDefault="007B29FD" w:rsidP="007B29FD">
      <w:pPr>
        <w:pStyle w:val="1"/>
        <w:spacing w:before="360" w:after="360"/>
      </w:pPr>
      <w:bookmarkStart w:id="0" w:name="_Toc351924578"/>
      <w:bookmarkStart w:id="1" w:name="_Toc365295209"/>
      <w:bookmarkStart w:id="2" w:name="_Toc373227713"/>
      <w:r w:rsidRPr="00961F26">
        <w:rPr>
          <w:lang w:val="en-US"/>
        </w:rPr>
        <w:t>I</w:t>
      </w:r>
      <w:r w:rsidRPr="00EA1C0E">
        <w:t>.</w:t>
      </w:r>
      <w:r w:rsidRPr="00C457BD">
        <w:rPr>
          <w:lang w:val="en-US"/>
        </w:rPr>
        <w:t> </w:t>
      </w:r>
      <w:r w:rsidRPr="006B777F">
        <w:t>Общие</w:t>
      </w:r>
      <w:r w:rsidRPr="00EA1C0E">
        <w:t xml:space="preserve"> </w:t>
      </w:r>
      <w:bookmarkEnd w:id="0"/>
      <w:bookmarkEnd w:id="1"/>
      <w:bookmarkEnd w:id="2"/>
      <w:r w:rsidRPr="006B777F">
        <w:t>положения</w:t>
      </w:r>
    </w:p>
    <w:p w14:paraId="0677B520" w14:textId="77777777" w:rsidR="007B29FD" w:rsidRPr="00C457BD" w:rsidRDefault="007B29FD" w:rsidP="00CF4CD6">
      <w:pPr>
        <w:pStyle w:val="ab"/>
        <w:spacing w:after="0" w:line="360" w:lineRule="auto"/>
        <w:rPr>
          <w:szCs w:val="30"/>
        </w:rPr>
      </w:pPr>
      <w:r w:rsidRPr="00EA1C0E">
        <w:rPr>
          <w:szCs w:val="30"/>
        </w:rPr>
        <w:t>1.</w:t>
      </w:r>
      <w:r w:rsidR="00C457BD" w:rsidRPr="00C457BD">
        <w:rPr>
          <w:szCs w:val="30"/>
          <w:lang w:val="en-US"/>
        </w:rPr>
        <w:t> </w:t>
      </w:r>
      <w:r w:rsidR="00C457BD" w:rsidRPr="00CF4CD6">
        <w:t>Настоящий</w:t>
      </w:r>
      <w:r w:rsidR="00C457BD" w:rsidRPr="00C457BD">
        <w:rPr>
          <w:szCs w:val="30"/>
        </w:rPr>
        <w:t xml:space="preserve"> Порядок разработан в соответствии со следующими актами, входящими в право Евразийского экономического союза</w:t>
      </w:r>
      <w:r w:rsidR="00F201C3">
        <w:rPr>
          <w:szCs w:val="30"/>
        </w:rPr>
        <w:t xml:space="preserve"> </w:t>
      </w:r>
      <w:r w:rsidR="00F201C3">
        <w:rPr>
          <w:szCs w:val="30"/>
        </w:rPr>
        <w:br/>
        <w:t>(далее – Союза)</w:t>
      </w:r>
      <w:r w:rsidRPr="00C457BD">
        <w:rPr>
          <w:szCs w:val="30"/>
        </w:rPr>
        <w:t>:</w:t>
      </w:r>
    </w:p>
    <w:p w14:paraId="396C41D3" w14:textId="77777777" w:rsidR="00C457BD" w:rsidRDefault="00C457BD" w:rsidP="00C457BD">
      <w:pPr>
        <w:pStyle w:val="a9"/>
        <w:spacing w:after="0" w:line="360" w:lineRule="auto"/>
        <w:rPr>
          <w:rFonts w:eastAsia="Times New Roman"/>
          <w:noProof/>
          <w:szCs w:val="30"/>
          <w:lang w:eastAsia="x-none"/>
        </w:rPr>
      </w:pPr>
      <w:r w:rsidRPr="00C457BD">
        <w:rPr>
          <w:rFonts w:eastAsia="Times New Roman"/>
          <w:noProof/>
          <w:szCs w:val="30"/>
          <w:lang w:eastAsia="x-none"/>
        </w:rPr>
        <w:t>Договор о Евразийском экономическом союзе от 29 мая 2014 года;</w:t>
      </w:r>
    </w:p>
    <w:p w14:paraId="4E0D8E30" w14:textId="77777777" w:rsidR="00A10B11" w:rsidRDefault="00A10B11" w:rsidP="00A10B11">
      <w:pPr>
        <w:pStyle w:val="a9"/>
        <w:spacing w:after="0" w:line="360" w:lineRule="auto"/>
        <w:rPr>
          <w:rFonts w:eastAsia="Times New Roman"/>
          <w:noProof/>
          <w:szCs w:val="30"/>
          <w:lang w:eastAsia="x-none"/>
        </w:rPr>
      </w:pPr>
      <w:r w:rsidRPr="00A10B11">
        <w:rPr>
          <w:rFonts w:eastAsia="Times New Roman"/>
          <w:noProof/>
          <w:szCs w:val="30"/>
          <w:lang w:eastAsia="x-none"/>
        </w:rPr>
        <w:t>Таможенный кодекс Евразийского экономического союза (Приложение №1 к Договору о Таможенном кодексе Евразийского экономического союза от 11 апреля 2017 года);</w:t>
      </w:r>
    </w:p>
    <w:p w14:paraId="09261425" w14:textId="77777777" w:rsidR="00C457BD" w:rsidRPr="00C457BD" w:rsidRDefault="00C457BD" w:rsidP="00C457BD">
      <w:pPr>
        <w:pStyle w:val="a9"/>
        <w:spacing w:after="0" w:line="360" w:lineRule="auto"/>
        <w:rPr>
          <w:rFonts w:eastAsia="Times New Roman"/>
          <w:noProof/>
          <w:szCs w:val="30"/>
          <w:lang w:eastAsia="x-none"/>
        </w:rPr>
      </w:pPr>
      <w:r w:rsidRPr="00C457BD" w:rsidDel="00201ABA">
        <w:rPr>
          <w:rFonts w:eastAsia="Times New Roman"/>
          <w:noProof/>
          <w:szCs w:val="30"/>
          <w:lang w:eastAsia="x-none"/>
        </w:rPr>
        <w:t xml:space="preserve">Решение Коллегии Евразийской экономической комиссии </w:t>
      </w:r>
      <w:r w:rsidRPr="00C457BD" w:rsidDel="00201ABA">
        <w:rPr>
          <w:rFonts w:eastAsia="Times New Roman"/>
          <w:noProof/>
          <w:szCs w:val="30"/>
          <w:lang w:eastAsia="x-none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1B18A9">
        <w:rPr>
          <w:rFonts w:eastAsia="Times New Roman"/>
          <w:noProof/>
          <w:szCs w:val="30"/>
          <w:lang w:eastAsia="x-none"/>
        </w:rPr>
        <w:br/>
      </w:r>
      <w:r w:rsidRPr="00C457BD" w:rsidDel="00201ABA">
        <w:rPr>
          <w:rFonts w:eastAsia="Times New Roman"/>
          <w:noProof/>
          <w:szCs w:val="30"/>
          <w:lang w:eastAsia="x-none"/>
        </w:rPr>
        <w:t>и взаимной торговли общих процессов»</w:t>
      </w:r>
      <w:r w:rsidRPr="00C457BD">
        <w:rPr>
          <w:rFonts w:eastAsia="Times New Roman"/>
          <w:noProof/>
          <w:szCs w:val="30"/>
          <w:lang w:eastAsia="x-none"/>
        </w:rPr>
        <w:t>;</w:t>
      </w:r>
    </w:p>
    <w:p w14:paraId="14DF96C7" w14:textId="77777777" w:rsidR="00C457BD" w:rsidRPr="00C457BD" w:rsidRDefault="00C457BD" w:rsidP="00C457BD">
      <w:pPr>
        <w:pStyle w:val="a9"/>
        <w:spacing w:after="0" w:line="360" w:lineRule="auto"/>
        <w:rPr>
          <w:rFonts w:eastAsia="Times New Roman"/>
          <w:noProof/>
          <w:szCs w:val="30"/>
          <w:lang w:eastAsia="x-none"/>
        </w:rPr>
      </w:pPr>
      <w:r w:rsidRPr="00C457BD">
        <w:rPr>
          <w:rFonts w:eastAsia="Times New Roman"/>
          <w:noProof/>
          <w:szCs w:val="30"/>
          <w:lang w:eastAsia="x-none"/>
        </w:rPr>
        <w:lastRenderedPageBreak/>
        <w:t>Решение Коллегии Евразийской экономической комиссии</w:t>
      </w:r>
      <w:r w:rsidRPr="00C457BD">
        <w:rPr>
          <w:rFonts w:eastAsia="Times New Roman"/>
          <w:noProof/>
          <w:szCs w:val="30"/>
          <w:lang w:eastAsia="x-none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</w:t>
      </w:r>
      <w:r w:rsidRPr="00C457BD">
        <w:rPr>
          <w:rFonts w:eastAsia="Times New Roman"/>
          <w:noProof/>
          <w:szCs w:val="30"/>
          <w:lang w:eastAsia="x-none"/>
        </w:rPr>
        <w:br/>
        <w:t>№ 132»;</w:t>
      </w:r>
    </w:p>
    <w:p w14:paraId="60A800C5" w14:textId="77777777" w:rsidR="00D117D9" w:rsidRDefault="00C457BD" w:rsidP="007B29FD">
      <w:pPr>
        <w:pStyle w:val="a9"/>
        <w:spacing w:after="0" w:line="360" w:lineRule="auto"/>
        <w:rPr>
          <w:noProof/>
          <w:szCs w:val="30"/>
        </w:rPr>
      </w:pPr>
      <w:r w:rsidRPr="00C457BD">
        <w:rPr>
          <w:noProof/>
          <w:szCs w:val="30"/>
        </w:rPr>
        <w:t xml:space="preserve">Решение Коллегии Евразийской экономической комиссии </w:t>
      </w:r>
      <w:r w:rsidRPr="00C457BD">
        <w:rPr>
          <w:noProof/>
          <w:szCs w:val="30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 w:rsidR="00D117D9">
        <w:rPr>
          <w:noProof/>
          <w:szCs w:val="30"/>
        </w:rPr>
        <w:t>;</w:t>
      </w:r>
    </w:p>
    <w:p w14:paraId="2832736A" w14:textId="1AAB3FD5" w:rsidR="00C61B13" w:rsidRDefault="00D117D9" w:rsidP="00D117D9">
      <w:pPr>
        <w:pStyle w:val="a9"/>
        <w:spacing w:after="0" w:line="360" w:lineRule="auto"/>
        <w:rPr>
          <w:rFonts w:eastAsia="Times New Roman"/>
          <w:noProof/>
          <w:szCs w:val="30"/>
          <w:lang w:eastAsia="x-none"/>
        </w:rPr>
      </w:pPr>
      <w:r w:rsidRPr="00D117D9">
        <w:rPr>
          <w:rFonts w:eastAsia="Times New Roman"/>
          <w:noProof/>
          <w:szCs w:val="30"/>
          <w:lang w:eastAsia="x-none"/>
        </w:rPr>
        <w:t xml:space="preserve">Решение Коллегии Евразийской экономической комиссии </w:t>
      </w:r>
      <w:r>
        <w:rPr>
          <w:rFonts w:eastAsia="Times New Roman"/>
          <w:noProof/>
          <w:szCs w:val="30"/>
          <w:lang w:eastAsia="x-none"/>
        </w:rPr>
        <w:br/>
      </w:r>
      <w:r w:rsidRPr="00D117D9">
        <w:rPr>
          <w:rFonts w:eastAsia="Times New Roman"/>
          <w:noProof/>
          <w:szCs w:val="30"/>
          <w:lang w:eastAsia="x-none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Евразийской экономической комиссией»</w:t>
      </w:r>
      <w:r w:rsidR="00C61B13">
        <w:rPr>
          <w:rFonts w:eastAsia="Times New Roman"/>
          <w:noProof/>
          <w:szCs w:val="30"/>
          <w:lang w:eastAsia="x-none"/>
        </w:rPr>
        <w:t>;</w:t>
      </w:r>
    </w:p>
    <w:p w14:paraId="36BC86CD" w14:textId="2D908274" w:rsidR="00BE60BE" w:rsidRPr="00BE60BE" w:rsidRDefault="00BE60BE" w:rsidP="00BE60BE">
      <w:pPr>
        <w:pStyle w:val="ae"/>
      </w:pPr>
      <w:r w:rsidRPr="00C233C3">
        <w:t xml:space="preserve">Решение Коллегии Евразийской экономической комиссии </w:t>
      </w:r>
      <w:r w:rsidR="00CE0BD7">
        <w:br/>
      </w:r>
      <w:r w:rsidRPr="00C233C3">
        <w:t>от 17 ноября 2015 г. № 155 «О единой системе нормативно-справочной информации Евр</w:t>
      </w:r>
      <w:r>
        <w:t>азийского экономического союза»</w:t>
      </w:r>
      <w:r w:rsidRPr="00C233C3">
        <w:t>;</w:t>
      </w:r>
    </w:p>
    <w:p w14:paraId="328267ED" w14:textId="0AB0C828" w:rsidR="007B29FD" w:rsidRDefault="000A398A" w:rsidP="00B55271">
      <w:pPr>
        <w:pStyle w:val="ae"/>
        <w:rPr>
          <w:noProof/>
          <w:szCs w:val="28"/>
        </w:rPr>
      </w:pPr>
      <w:r w:rsidRPr="000A398A">
        <w:rPr>
          <w:noProof/>
          <w:szCs w:val="28"/>
        </w:rPr>
        <w:t xml:space="preserve">Решение Коллегии Евразийской экономической комиссии </w:t>
      </w:r>
      <w:r w:rsidRPr="000A398A">
        <w:rPr>
          <w:noProof/>
          <w:szCs w:val="28"/>
        </w:rPr>
        <w:br/>
        <w:t>от 19 декабря 2016 г. № 169 «Об утверждении Порядка реализации общих процессов в рамках Евразийского экономического союза»</w:t>
      </w:r>
      <w:r w:rsidR="000F1538">
        <w:rPr>
          <w:noProof/>
          <w:szCs w:val="28"/>
        </w:rPr>
        <w:t>;</w:t>
      </w:r>
    </w:p>
    <w:p w14:paraId="7F19B611" w14:textId="56C0E8D2" w:rsidR="00E04883" w:rsidRPr="004E72B5" w:rsidRDefault="00E04883" w:rsidP="00E04883">
      <w:pPr>
        <w:pStyle w:val="ae"/>
      </w:pPr>
      <w:r w:rsidRPr="00C233C3">
        <w:t xml:space="preserve">Решение Коллегии Евразийской экономической комиссии </w:t>
      </w:r>
      <w:r>
        <w:br/>
      </w:r>
      <w:r w:rsidRPr="00C233C3">
        <w:t xml:space="preserve">от </w:t>
      </w:r>
      <w:r>
        <w:t>      </w:t>
      </w:r>
      <w:r w:rsidRPr="00C233C3">
        <w:t xml:space="preserve"> </w:t>
      </w:r>
      <w:r>
        <w:t>                         </w:t>
      </w:r>
      <w:r w:rsidRPr="00C233C3">
        <w:t xml:space="preserve"> 20</w:t>
      </w:r>
      <w:r>
        <w:t>    </w:t>
      </w:r>
      <w:r w:rsidRPr="00C233C3">
        <w:t xml:space="preserve"> г. № </w:t>
      </w:r>
      <w:r>
        <w:t>  </w:t>
      </w:r>
      <w:proofErr w:type="gramStart"/>
      <w:r>
        <w:t>   </w:t>
      </w:r>
      <w:r w:rsidRPr="00C233C3">
        <w:t>«</w:t>
      </w:r>
      <w:proofErr w:type="gramEnd"/>
      <w:r w:rsidRPr="004E72B5">
        <w:t>Об утверждении справочников, содержащих в формализованном виде сведения из единой Товарной номенклатуры внешнеэкономической деятельности и Единого таможенного тарифа Евразийского экономического союза</w:t>
      </w:r>
      <w:r w:rsidRPr="00C233C3">
        <w:t>»</w:t>
      </w:r>
      <w:r w:rsidRPr="004E72B5">
        <w:t>.</w:t>
      </w:r>
    </w:p>
    <w:p w14:paraId="4FD9AE56" w14:textId="77777777" w:rsidR="007B29FD" w:rsidRPr="00EA1C0E" w:rsidRDefault="007B29FD" w:rsidP="004D1F83">
      <w:pPr>
        <w:pStyle w:val="1"/>
        <w:spacing w:before="360" w:after="360"/>
      </w:pPr>
      <w:r>
        <w:rPr>
          <w:lang w:val="en-US"/>
        </w:rPr>
        <w:lastRenderedPageBreak/>
        <w:t>II</w:t>
      </w:r>
      <w:r w:rsidRPr="00EA1C0E">
        <w:t>.</w:t>
      </w:r>
      <w:r w:rsidRPr="007931CD">
        <w:rPr>
          <w:lang w:val="en-US"/>
        </w:rPr>
        <w:t> </w:t>
      </w:r>
      <w:r w:rsidRPr="00BB6075">
        <w:t>Область</w:t>
      </w:r>
      <w:r w:rsidRPr="00EA1C0E">
        <w:t xml:space="preserve"> </w:t>
      </w:r>
      <w:r w:rsidRPr="00BB6075">
        <w:t>применения</w:t>
      </w:r>
    </w:p>
    <w:p w14:paraId="6D01FEC5" w14:textId="75934379" w:rsidR="007B29FD" w:rsidRPr="00F66CB5" w:rsidRDefault="007B29FD" w:rsidP="007B29FD">
      <w:pPr>
        <w:pStyle w:val="ab"/>
        <w:spacing w:after="0" w:line="360" w:lineRule="auto"/>
      </w:pPr>
      <w:r w:rsidRPr="00EA1C0E">
        <w:t>2.</w:t>
      </w:r>
      <w:r w:rsidR="00C457BD" w:rsidRPr="00132CD0">
        <w:rPr>
          <w:lang w:val="en-US"/>
        </w:rPr>
        <w:t> </w:t>
      </w:r>
      <w:r w:rsidR="00C457BD" w:rsidRPr="00C457BD">
        <w:t xml:space="preserve">Настоящий Порядок определяет требования </w:t>
      </w:r>
      <w:r w:rsidR="001B18A9">
        <w:br/>
      </w:r>
      <w:r w:rsidR="00C457BD" w:rsidRPr="00C457BD">
        <w:t>к информационному взаимодействию при присоединении нового участника к общему процессу</w:t>
      </w:r>
      <w:r w:rsidRPr="00F66CB5" w:rsidDel="007424C7">
        <w:t xml:space="preserve"> </w:t>
      </w:r>
      <w:r w:rsidRPr="00F66CB5">
        <w:t xml:space="preserve">«Формирование,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</w:t>
      </w:r>
      <w:r w:rsidR="00CE0BD7">
        <w:br/>
      </w:r>
      <w:r w:rsidRPr="00F66CB5">
        <w:t>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союза» (P.GC.01)</w:t>
      </w:r>
      <w:r w:rsidR="00C457BD">
        <w:t xml:space="preserve"> (далее – общий процесс)</w:t>
      </w:r>
      <w:r w:rsidRPr="00F66CB5">
        <w:t>.</w:t>
      </w:r>
    </w:p>
    <w:p w14:paraId="0097AA21" w14:textId="77777777" w:rsidR="007B29FD" w:rsidRDefault="007B29FD" w:rsidP="007B29FD">
      <w:pPr>
        <w:pStyle w:val="ab"/>
        <w:spacing w:after="0" w:line="360" w:lineRule="auto"/>
      </w:pPr>
      <w:r>
        <w:t>3</w:t>
      </w:r>
      <w:r w:rsidRPr="00513E69">
        <w:t>.</w:t>
      </w:r>
      <w:r w:rsidR="00C457BD">
        <w:t> </w:t>
      </w:r>
      <w:r w:rsidR="00C457BD" w:rsidRPr="00C457BD">
        <w:t>Процедуры, определенные в настоящем Порядке, выполняются одномоментно либо на протяжении определенного периода времени при присоединении нового участника к общему процессу</w:t>
      </w:r>
      <w:r w:rsidRPr="00F66CB5">
        <w:t>.</w:t>
      </w:r>
    </w:p>
    <w:p w14:paraId="5566704E" w14:textId="77777777" w:rsidR="00C853C5" w:rsidRPr="00EA1C0E" w:rsidRDefault="00C853C5" w:rsidP="00C853C5">
      <w:pPr>
        <w:pStyle w:val="1"/>
        <w:spacing w:before="360" w:after="360"/>
      </w:pPr>
      <w:r>
        <w:rPr>
          <w:lang w:val="en-US"/>
        </w:rPr>
        <w:t>III</w:t>
      </w:r>
      <w:r w:rsidRPr="00EA1C0E">
        <w:t>.</w:t>
      </w:r>
      <w:r w:rsidRPr="00132CD0">
        <w:rPr>
          <w:lang w:val="en-US"/>
        </w:rPr>
        <w:t> </w:t>
      </w:r>
      <w:r>
        <w:t>Основные</w:t>
      </w:r>
      <w:r w:rsidRPr="00EA1C0E">
        <w:t xml:space="preserve"> </w:t>
      </w:r>
      <w:r>
        <w:t>понятия</w:t>
      </w:r>
    </w:p>
    <w:p w14:paraId="55EF42A4" w14:textId="77777777" w:rsidR="00C853C5" w:rsidRDefault="00C853C5" w:rsidP="007B29FD">
      <w:pPr>
        <w:pStyle w:val="ab"/>
        <w:spacing w:after="0" w:line="360" w:lineRule="auto"/>
      </w:pPr>
      <w:r w:rsidRPr="00EA1C0E">
        <w:t>4.</w:t>
      </w:r>
      <w:r w:rsidRPr="00132CD0">
        <w:rPr>
          <w:lang w:val="en-US"/>
        </w:rPr>
        <w:t> </w:t>
      </w:r>
      <w:r w:rsidRPr="00C853C5">
        <w:t>Для целей настоящего Порядка используются понятия, которые означают следующее:</w:t>
      </w:r>
    </w:p>
    <w:p w14:paraId="56DC7EDE" w14:textId="5BDAA34A" w:rsidR="00C853C5" w:rsidRDefault="00C853C5" w:rsidP="00C853C5">
      <w:pPr>
        <w:pStyle w:val="ab"/>
        <w:spacing w:after="0" w:line="360" w:lineRule="auto"/>
        <w:outlineLvl w:val="9"/>
      </w:pPr>
      <w:r>
        <w:t xml:space="preserve">«документы, применяемые при обеспечении функционирования интегрированной </w:t>
      </w:r>
      <w:r w:rsidR="00F201C3">
        <w:t xml:space="preserve">информационной </w:t>
      </w:r>
      <w:r>
        <w:t xml:space="preserve">системы внешней и взаимной торговли» – технические, технологические, методические </w:t>
      </w:r>
      <w:r w:rsidR="00CE0BD7">
        <w:br/>
      </w:r>
      <w:r>
        <w:t xml:space="preserve">и организационные документы, разрабатываемые и утверждаемые Евразийской экономической комиссией в соответствии с пунктом 30 Протокола об информационно-коммуникационных технологиях </w:t>
      </w:r>
      <w:r w:rsidR="00CE0BD7">
        <w:br/>
      </w:r>
      <w:r>
        <w:t xml:space="preserve">и информационном взаимодействии в рамках Евразийского </w:t>
      </w:r>
      <w:r>
        <w:lastRenderedPageBreak/>
        <w:t xml:space="preserve">экономического союза (приложение № 3 к Договору о Евразийском экономическом </w:t>
      </w:r>
      <w:r w:rsidR="00461020">
        <w:t>с</w:t>
      </w:r>
      <w:r>
        <w:t>оюзе от 29 мая 2014 года);</w:t>
      </w:r>
    </w:p>
    <w:p w14:paraId="63FBFD10" w14:textId="358576F1" w:rsidR="005E0A2B" w:rsidRDefault="005E0A2B" w:rsidP="00C853C5">
      <w:pPr>
        <w:pStyle w:val="ab"/>
        <w:spacing w:after="0" w:line="360" w:lineRule="auto"/>
        <w:outlineLvl w:val="9"/>
      </w:pPr>
      <w:r>
        <w:t>«</w:t>
      </w:r>
      <w:r w:rsidRPr="00E4221C">
        <w:t>ЕТТ</w:t>
      </w:r>
      <w:r>
        <w:t> </w:t>
      </w:r>
      <w:r w:rsidRPr="00E4221C">
        <w:t>ЕАЭС</w:t>
      </w:r>
      <w:r>
        <w:t xml:space="preserve">» – </w:t>
      </w:r>
      <w:r w:rsidRPr="00E4221C">
        <w:t>Един</w:t>
      </w:r>
      <w:r>
        <w:t>ый</w:t>
      </w:r>
      <w:r w:rsidRPr="00E4221C">
        <w:t xml:space="preserve"> таможенн</w:t>
      </w:r>
      <w:r>
        <w:t>ый тариф</w:t>
      </w:r>
      <w:r w:rsidRPr="00E4221C">
        <w:t xml:space="preserve"> </w:t>
      </w:r>
      <w:r w:rsidR="00461020">
        <w:t>Евразийского экономического союза</w:t>
      </w:r>
      <w:r>
        <w:t>;</w:t>
      </w:r>
    </w:p>
    <w:p w14:paraId="552836AA" w14:textId="77777777" w:rsidR="005E0A2B" w:rsidRDefault="00C853C5" w:rsidP="00C853C5">
      <w:pPr>
        <w:pStyle w:val="ae"/>
        <w:rPr>
          <w:noProof/>
          <w:szCs w:val="28"/>
        </w:rPr>
      </w:pPr>
      <w:r>
        <w:rPr>
          <w:szCs w:val="28"/>
        </w:rPr>
        <w:t>«</w:t>
      </w:r>
      <w:proofErr w:type="gramStart"/>
      <w:r>
        <w:t>технологические</w:t>
      </w:r>
      <w:proofErr w:type="gramEnd"/>
      <w:r>
        <w:t xml:space="preserve"> документы, регламентирующие информационное взаимодействие при реализации общего процесса</w:t>
      </w:r>
      <w:r>
        <w:rPr>
          <w:szCs w:val="28"/>
        </w:rPr>
        <w:t xml:space="preserve">» – документы, включенные в типовой перечень технологических документов, указанный в пункте 1 </w:t>
      </w:r>
      <w:r w:rsidRPr="00D935E3">
        <w:rPr>
          <w:noProof/>
          <w:szCs w:val="28"/>
        </w:rPr>
        <w:t>Решени</w:t>
      </w:r>
      <w:r>
        <w:rPr>
          <w:noProof/>
          <w:szCs w:val="28"/>
        </w:rPr>
        <w:t>я</w:t>
      </w:r>
      <w:r w:rsidRPr="00D935E3">
        <w:rPr>
          <w:noProof/>
          <w:szCs w:val="28"/>
        </w:rPr>
        <w:t xml:space="preserve"> Коллегии Евразийской экономической комиссии от 6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г.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№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200</w:t>
      </w:r>
      <w:r w:rsidR="005E0A2B">
        <w:rPr>
          <w:noProof/>
          <w:szCs w:val="28"/>
        </w:rPr>
        <w:t>;</w:t>
      </w:r>
    </w:p>
    <w:p w14:paraId="02C5E829" w14:textId="2D425C61" w:rsidR="00C853C5" w:rsidRDefault="005E0A2B" w:rsidP="00C853C5">
      <w:pPr>
        <w:pStyle w:val="ae"/>
      </w:pPr>
      <w:r>
        <w:t>«</w:t>
      </w:r>
      <w:r w:rsidRPr="00E4221C">
        <w:t>ТН</w:t>
      </w:r>
      <w:r>
        <w:t> </w:t>
      </w:r>
      <w:r w:rsidRPr="00E4221C">
        <w:t>ВЭД</w:t>
      </w:r>
      <w:r>
        <w:t> </w:t>
      </w:r>
      <w:r w:rsidRPr="00E4221C">
        <w:t>ЕАЭС</w:t>
      </w:r>
      <w:r>
        <w:t>»</w:t>
      </w:r>
      <w:r w:rsidRPr="00E4221C">
        <w:t xml:space="preserve"> </w:t>
      </w:r>
      <w:r>
        <w:t xml:space="preserve">– </w:t>
      </w:r>
      <w:r w:rsidRPr="00E4221C">
        <w:t>един</w:t>
      </w:r>
      <w:r>
        <w:t>ая</w:t>
      </w:r>
      <w:r w:rsidRPr="00E4221C">
        <w:t xml:space="preserve"> Товарн</w:t>
      </w:r>
      <w:r>
        <w:t>ая</w:t>
      </w:r>
      <w:r w:rsidRPr="00E4221C">
        <w:t xml:space="preserve"> номенклатур</w:t>
      </w:r>
      <w:r>
        <w:t>а</w:t>
      </w:r>
      <w:r w:rsidRPr="00E4221C">
        <w:t xml:space="preserve"> внешнеэкономической деятельности </w:t>
      </w:r>
      <w:r w:rsidR="00461020">
        <w:t>Евразийского экономического союза</w:t>
      </w:r>
      <w:r w:rsidR="00C853C5">
        <w:t>.</w:t>
      </w:r>
    </w:p>
    <w:p w14:paraId="7D681C8C" w14:textId="77777777" w:rsidR="00C853C5" w:rsidRDefault="00C853C5" w:rsidP="00C853C5">
      <w:pPr>
        <w:pStyle w:val="ab"/>
        <w:spacing w:after="0" w:line="360" w:lineRule="auto"/>
        <w:outlineLvl w:val="9"/>
      </w:pPr>
      <w:r w:rsidRPr="00E83C19">
        <w:rPr>
          <w:szCs w:val="28"/>
        </w:rPr>
        <w:t xml:space="preserve">Иные понятия, используемые в настоящем </w:t>
      </w:r>
      <w:r>
        <w:rPr>
          <w:szCs w:val="28"/>
        </w:rPr>
        <w:t>Порядке</w:t>
      </w:r>
      <w:r w:rsidRPr="00E83C19">
        <w:rPr>
          <w:szCs w:val="28"/>
        </w:rPr>
        <w:t>, применяются в значениях</w:t>
      </w:r>
      <w:r>
        <w:rPr>
          <w:szCs w:val="28"/>
        </w:rPr>
        <w:t>,</w:t>
      </w:r>
      <w:r w:rsidRPr="00E83C19">
        <w:rPr>
          <w:szCs w:val="28"/>
        </w:rPr>
        <w:t xml:space="preserve"> определенных в пункте </w:t>
      </w:r>
      <w:r>
        <w:rPr>
          <w:szCs w:val="28"/>
        </w:rPr>
        <w:t>4</w:t>
      </w:r>
      <w:r w:rsidRPr="00E83C19">
        <w:rPr>
          <w:szCs w:val="28"/>
        </w:rPr>
        <w:t xml:space="preserve"> Правил информационного взаимодействия при реализации средствами интегрированной информационной системы </w:t>
      </w:r>
      <w:r w:rsidR="00442483">
        <w:rPr>
          <w:szCs w:val="28"/>
        </w:rPr>
        <w:t xml:space="preserve">Евразийского экономического союза </w:t>
      </w:r>
      <w:r w:rsidRPr="00E83C19">
        <w:rPr>
          <w:szCs w:val="28"/>
        </w:rPr>
        <w:t>общего процесса «</w:t>
      </w:r>
      <w:r w:rsidRPr="00F66CB5"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</w:t>
      </w:r>
      <w:r w:rsidR="001B18A9">
        <w:br/>
      </w:r>
      <w:r w:rsidRPr="00F66CB5">
        <w:t>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Pr="00155FD9">
        <w:t>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от</w:t>
      </w:r>
      <w:r w:rsidRPr="00C317A9">
        <w:rPr>
          <w:szCs w:val="30"/>
          <w:lang w:eastAsia="x-none"/>
        </w:rPr>
        <w:t xml:space="preserve">                      </w:t>
      </w:r>
      <w:r>
        <w:t xml:space="preserve"> 20     г. №       (</w:t>
      </w:r>
      <w:r w:rsidRPr="0071641A">
        <w:t>далее – Правила информационного взаимодействия)</w:t>
      </w:r>
      <w:r>
        <w:t>.</w:t>
      </w:r>
    </w:p>
    <w:p w14:paraId="1E1C14C9" w14:textId="77777777" w:rsidR="005844FA" w:rsidRPr="00EA1C0E" w:rsidRDefault="005844FA" w:rsidP="00FD19B5">
      <w:pPr>
        <w:pStyle w:val="11"/>
      </w:pPr>
      <w:r>
        <w:rPr>
          <w:lang w:val="en-US"/>
        </w:rPr>
        <w:lastRenderedPageBreak/>
        <w:t>IV</w:t>
      </w:r>
      <w:r w:rsidRPr="00EA1C0E">
        <w:t>.</w:t>
      </w:r>
      <w:r w:rsidRPr="00132CD0">
        <w:rPr>
          <w:lang w:val="en-US"/>
        </w:rPr>
        <w:t> </w:t>
      </w:r>
      <w:r>
        <w:t>Участники</w:t>
      </w:r>
      <w:r w:rsidRPr="00EA1C0E">
        <w:t xml:space="preserve"> </w:t>
      </w:r>
      <w:r>
        <w:t>взаимодействия</w:t>
      </w:r>
    </w:p>
    <w:p w14:paraId="3656190B" w14:textId="77777777" w:rsidR="00FD19B5" w:rsidRDefault="00FD19B5" w:rsidP="00CF4CD6">
      <w:pPr>
        <w:pStyle w:val="ab"/>
        <w:spacing w:after="0" w:line="360" w:lineRule="auto"/>
      </w:pPr>
      <w:r w:rsidRPr="00EA1C0E">
        <w:t>5.</w:t>
      </w:r>
      <w:r w:rsidRPr="00132CD0">
        <w:rPr>
          <w:lang w:val="en-US"/>
        </w:rPr>
        <w:t> </w:t>
      </w:r>
      <w:r w:rsidRPr="00FD19B5">
        <w:t>Роли участников взаимодействия при выполнении ими процедур присоединения к общему процессу приведены в таблице 1.</w:t>
      </w:r>
    </w:p>
    <w:p w14:paraId="200B936A" w14:textId="77777777" w:rsidR="00FD19B5" w:rsidRDefault="00FD19B5" w:rsidP="00B55271">
      <w:pPr>
        <w:pStyle w:val="ab"/>
        <w:keepNext/>
        <w:spacing w:before="240" w:after="240" w:line="240" w:lineRule="auto"/>
        <w:ind w:firstLine="0"/>
        <w:jc w:val="right"/>
        <w:outlineLvl w:val="9"/>
      </w:pPr>
      <w:r>
        <w:t>Таблица 1</w:t>
      </w:r>
    </w:p>
    <w:p w14:paraId="772309DE" w14:textId="77777777" w:rsidR="00FD19B5" w:rsidRDefault="00FD19B5" w:rsidP="00B55271">
      <w:pPr>
        <w:pStyle w:val="ab"/>
        <w:keepNext/>
        <w:spacing w:line="240" w:lineRule="auto"/>
        <w:ind w:firstLine="0"/>
        <w:jc w:val="center"/>
        <w:outlineLvl w:val="9"/>
      </w:pPr>
      <w:r>
        <w:t>Роли участников взаимодействия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88"/>
        <w:gridCol w:w="3969"/>
        <w:gridCol w:w="2659"/>
      </w:tblGrid>
      <w:tr w:rsidR="00FD19B5" w:rsidRPr="00B83F35" w14:paraId="6E862E35" w14:textId="77777777" w:rsidTr="00B55271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85" w:type="dxa"/>
              <w:bottom w:w="85" w:type="dxa"/>
            </w:tcMar>
          </w:tcPr>
          <w:p w14:paraId="163E8AFA" w14:textId="77777777" w:rsidR="00FD19B5" w:rsidRPr="00B83F35" w:rsidRDefault="00FD19B5" w:rsidP="00B55271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83F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8" w:type="dxa"/>
            <w:shd w:val="clear" w:color="auto" w:fill="auto"/>
            <w:tcMar>
              <w:top w:w="85" w:type="dxa"/>
              <w:bottom w:w="85" w:type="dxa"/>
            </w:tcMar>
          </w:tcPr>
          <w:p w14:paraId="78665FED" w14:textId="77777777" w:rsidR="00FD19B5" w:rsidRPr="00B83F35" w:rsidRDefault="00570BFE" w:rsidP="00B55271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83F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  <w:tcMar>
              <w:top w:w="85" w:type="dxa"/>
              <w:bottom w:w="85" w:type="dxa"/>
            </w:tcMar>
          </w:tcPr>
          <w:p w14:paraId="0A7AEF67" w14:textId="77777777" w:rsidR="00FD19B5" w:rsidRPr="00B83F35" w:rsidRDefault="00570BFE" w:rsidP="00B55271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83F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659" w:type="dxa"/>
            <w:shd w:val="clear" w:color="auto" w:fill="auto"/>
            <w:tcMar>
              <w:top w:w="85" w:type="dxa"/>
              <w:bottom w:w="85" w:type="dxa"/>
            </w:tcMar>
          </w:tcPr>
          <w:p w14:paraId="293EEFE7" w14:textId="77777777" w:rsidR="00FD19B5" w:rsidRPr="00B83F35" w:rsidRDefault="00FD19B5" w:rsidP="00B55271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83F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Участник, выполняющий роль</w:t>
            </w:r>
          </w:p>
        </w:tc>
      </w:tr>
      <w:tr w:rsidR="00FD19B5" w:rsidRPr="00B83F35" w14:paraId="238C5F75" w14:textId="77777777" w:rsidTr="00B55271">
        <w:trPr>
          <w:cantSplit/>
          <w:jc w:val="center"/>
        </w:trPr>
        <w:tc>
          <w:tcPr>
            <w:tcW w:w="555" w:type="dxa"/>
            <w:shd w:val="clear" w:color="auto" w:fill="auto"/>
            <w:tcMar>
              <w:top w:w="85" w:type="dxa"/>
              <w:bottom w:w="85" w:type="dxa"/>
            </w:tcMar>
          </w:tcPr>
          <w:p w14:paraId="2CA7976C" w14:textId="77777777" w:rsidR="00FD19B5" w:rsidRPr="00B83F35" w:rsidRDefault="00FD19B5" w:rsidP="00B83F35">
            <w:pPr>
              <w:pStyle w:val="ab"/>
              <w:spacing w:after="0" w:line="264" w:lineRule="auto"/>
              <w:ind w:firstLine="0"/>
              <w:jc w:val="center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B83F3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8" w:type="dxa"/>
            <w:shd w:val="clear" w:color="auto" w:fill="auto"/>
            <w:tcMar>
              <w:top w:w="85" w:type="dxa"/>
              <w:bottom w:w="85" w:type="dxa"/>
            </w:tcMar>
          </w:tcPr>
          <w:p w14:paraId="3468E0ED" w14:textId="77777777" w:rsidR="00FD19B5" w:rsidRPr="00B83F35" w:rsidRDefault="00EA1C0E" w:rsidP="00B83F35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B83F35">
              <w:rPr>
                <w:rFonts w:eastAsia="Times New Roman"/>
                <w:sz w:val="24"/>
                <w:szCs w:val="24"/>
                <w:lang w:eastAsia="ru-RU"/>
              </w:rPr>
              <w:t>Присоединяющийся участник общего процесса</w:t>
            </w:r>
          </w:p>
        </w:tc>
        <w:tc>
          <w:tcPr>
            <w:tcW w:w="3969" w:type="dxa"/>
            <w:shd w:val="clear" w:color="auto" w:fill="auto"/>
            <w:tcMar>
              <w:top w:w="85" w:type="dxa"/>
              <w:bottom w:w="85" w:type="dxa"/>
            </w:tcMar>
          </w:tcPr>
          <w:p w14:paraId="3689C402" w14:textId="2A076209" w:rsidR="00FD19B5" w:rsidRPr="00B83F35" w:rsidRDefault="00EA1C0E" w:rsidP="00461020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B83F35">
              <w:rPr>
                <w:rFonts w:eastAsia="Times New Roman"/>
                <w:sz w:val="24"/>
                <w:szCs w:val="24"/>
                <w:lang w:eastAsia="ru-RU"/>
              </w:rPr>
              <w:t xml:space="preserve">получает необходимые справочники и классификаторы, а также </w:t>
            </w:r>
            <w:r w:rsidR="00EA4DE6">
              <w:rPr>
                <w:rFonts w:eastAsia="Times New Roman"/>
                <w:sz w:val="24"/>
                <w:szCs w:val="24"/>
                <w:lang w:eastAsia="ru-RU"/>
              </w:rPr>
              <w:t>сведения</w:t>
            </w:r>
            <w:r w:rsidRPr="00B83F3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>из ТН ВЭД ЕАЭС,</w:t>
            </w:r>
            <w:r w:rsidR="004610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>ЕТТ ЕАЭС и информаци</w:t>
            </w:r>
            <w:r w:rsidR="00461020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="004610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>соответствии кодов разных редакций ТН ВЭД ЕАЭС</w:t>
            </w:r>
            <w:r w:rsidR="004610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>на уровне товарных позиций,</w:t>
            </w:r>
            <w:r w:rsidR="004610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 xml:space="preserve">субпозиций </w:t>
            </w:r>
            <w:r w:rsidR="0046102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610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>подсубпозиций</w:t>
            </w:r>
          </w:p>
        </w:tc>
        <w:tc>
          <w:tcPr>
            <w:tcW w:w="2659" w:type="dxa"/>
            <w:shd w:val="clear" w:color="auto" w:fill="auto"/>
            <w:tcMar>
              <w:top w:w="85" w:type="dxa"/>
              <w:bottom w:w="85" w:type="dxa"/>
            </w:tcMar>
          </w:tcPr>
          <w:p w14:paraId="5E314762" w14:textId="5635860B" w:rsidR="00FD19B5" w:rsidRPr="00B83F35" w:rsidRDefault="00EA1C0E" w:rsidP="00EE58F0">
            <w:pPr>
              <w:pStyle w:val="ab"/>
              <w:spacing w:after="0" w:line="264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83F35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уполномоченный орган государства – члена </w:t>
            </w:r>
            <w:r w:rsidR="00F201C3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83F35">
              <w:rPr>
                <w:rFonts w:eastAsia="Times New Roman"/>
                <w:sz w:val="24"/>
                <w:szCs w:val="24"/>
                <w:lang w:eastAsia="ru-RU"/>
              </w:rPr>
              <w:t>оюза (</w:t>
            </w:r>
            <w:r w:rsidR="00D13DE8" w:rsidRPr="00D13DE8">
              <w:rPr>
                <w:rFonts w:eastAsia="Times New Roman"/>
                <w:sz w:val="24"/>
                <w:szCs w:val="24"/>
                <w:lang w:eastAsia="ru-RU"/>
              </w:rPr>
              <w:t>P.GC.01.ACT.001</w:t>
            </w:r>
            <w:r w:rsidRPr="00B83F35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EA1C0E" w:rsidRPr="00B83F35" w14:paraId="7CCF88DC" w14:textId="77777777" w:rsidTr="00B55271">
        <w:trPr>
          <w:cantSplit/>
          <w:jc w:val="center"/>
        </w:trPr>
        <w:tc>
          <w:tcPr>
            <w:tcW w:w="555" w:type="dxa"/>
            <w:shd w:val="clear" w:color="auto" w:fill="auto"/>
            <w:tcMar>
              <w:top w:w="85" w:type="dxa"/>
              <w:bottom w:w="85" w:type="dxa"/>
            </w:tcMar>
          </w:tcPr>
          <w:p w14:paraId="5B36D1B6" w14:textId="77777777" w:rsidR="00EA1C0E" w:rsidRPr="005E0A2B" w:rsidRDefault="00EA1C0E" w:rsidP="00B83F35">
            <w:pPr>
              <w:pStyle w:val="ab"/>
              <w:spacing w:after="0" w:line="264" w:lineRule="auto"/>
              <w:ind w:firstLine="0"/>
              <w:jc w:val="center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5E0A2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8" w:type="dxa"/>
            <w:shd w:val="clear" w:color="auto" w:fill="auto"/>
            <w:tcMar>
              <w:top w:w="85" w:type="dxa"/>
              <w:bottom w:w="85" w:type="dxa"/>
            </w:tcMar>
          </w:tcPr>
          <w:p w14:paraId="61181486" w14:textId="77777777" w:rsidR="00EA1C0E" w:rsidRPr="005E0A2B" w:rsidRDefault="00496249" w:rsidP="00B83F35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B55271">
              <w:rPr>
                <w:rFonts w:eastAsia="Times New Roman"/>
                <w:sz w:val="24"/>
                <w:szCs w:val="24"/>
                <w:lang w:eastAsia="ru-RU"/>
              </w:rPr>
              <w:t>Администратор</w:t>
            </w:r>
            <w:r w:rsidRPr="00B55271">
              <w:rPr>
                <w:sz w:val="24"/>
                <w:szCs w:val="24"/>
              </w:rPr>
              <w:t xml:space="preserve"> </w:t>
            </w:r>
            <w:r w:rsidRPr="00B55271">
              <w:rPr>
                <w:rFonts w:eastAsia="Times New Roman"/>
                <w:sz w:val="24"/>
                <w:szCs w:val="24"/>
                <w:lang w:eastAsia="ru-RU"/>
              </w:rPr>
              <w:t>единой</w:t>
            </w:r>
            <w:r w:rsidRPr="00B55271">
              <w:rPr>
                <w:sz w:val="24"/>
                <w:szCs w:val="24"/>
              </w:rPr>
              <w:t xml:space="preserve"> системы </w:t>
            </w:r>
            <w:r w:rsidRPr="00B55271">
              <w:rPr>
                <w:sz w:val="24"/>
                <w:szCs w:val="24"/>
              </w:rPr>
              <w:br/>
              <w:t>нормативно-справочной информации Союза</w:t>
            </w:r>
          </w:p>
        </w:tc>
        <w:tc>
          <w:tcPr>
            <w:tcW w:w="3969" w:type="dxa"/>
            <w:shd w:val="clear" w:color="auto" w:fill="auto"/>
            <w:tcMar>
              <w:top w:w="85" w:type="dxa"/>
              <w:bottom w:w="85" w:type="dxa"/>
            </w:tcMar>
          </w:tcPr>
          <w:p w14:paraId="521D18AF" w14:textId="12BC13CF" w:rsidR="00461020" w:rsidRPr="00461020" w:rsidRDefault="00C61B13" w:rsidP="00461020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5E0A2B">
              <w:rPr>
                <w:rFonts w:eastAsia="Times New Roman"/>
                <w:sz w:val="24"/>
                <w:szCs w:val="24"/>
                <w:lang w:eastAsia="ru-RU"/>
              </w:rPr>
              <w:t>представляет присоединяющемуся участнику общего процесса доступ к справочникам и классификаторам, принимаемым (утверждаемым) Евразийской экономической комиссией</w:t>
            </w:r>
            <w:r w:rsidR="00EA1C0E" w:rsidRPr="005E0A2B">
              <w:rPr>
                <w:rFonts w:eastAsia="Times New Roman"/>
                <w:sz w:val="24"/>
                <w:szCs w:val="24"/>
                <w:lang w:eastAsia="ru-RU"/>
              </w:rPr>
              <w:t xml:space="preserve">, а также </w:t>
            </w:r>
            <w:r w:rsidR="00EA4DE6" w:rsidRPr="005E0A2B">
              <w:rPr>
                <w:rFonts w:eastAsia="Times New Roman"/>
                <w:sz w:val="24"/>
                <w:szCs w:val="24"/>
                <w:lang w:eastAsia="ru-RU"/>
              </w:rPr>
              <w:t>сведени</w:t>
            </w:r>
            <w:r w:rsidRPr="00B5527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EA4DE6" w:rsidRPr="005E0A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6102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461020" w:rsidRPr="00461020">
              <w:rPr>
                <w:rFonts w:eastAsia="Times New Roman"/>
                <w:sz w:val="24"/>
                <w:szCs w:val="24"/>
                <w:lang w:eastAsia="ru-RU"/>
              </w:rPr>
              <w:t>из ТН ВЭД ЕАЭС, ЕТТ ЕАЭС</w:t>
            </w:r>
          </w:p>
          <w:p w14:paraId="21B8E749" w14:textId="6344A414" w:rsidR="00461020" w:rsidRPr="00461020" w:rsidRDefault="00461020" w:rsidP="00461020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461020">
              <w:rPr>
                <w:rFonts w:eastAsia="Times New Roman"/>
                <w:sz w:val="24"/>
                <w:szCs w:val="24"/>
                <w:lang w:eastAsia="ru-RU"/>
              </w:rPr>
              <w:t>и информаци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461020">
              <w:rPr>
                <w:rFonts w:eastAsia="Times New Roman"/>
                <w:sz w:val="24"/>
                <w:szCs w:val="24"/>
                <w:lang w:eastAsia="ru-RU"/>
              </w:rPr>
              <w:t xml:space="preserve"> о соответствии кодов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разных редакций </w:t>
            </w:r>
            <w:r w:rsidRPr="00461020">
              <w:rPr>
                <w:rFonts w:eastAsia="Times New Roman"/>
                <w:sz w:val="24"/>
                <w:szCs w:val="24"/>
                <w:lang w:eastAsia="ru-RU"/>
              </w:rPr>
              <w:t>ТН ВЭД ЕАЭС на уровне товарных</w:t>
            </w:r>
          </w:p>
          <w:p w14:paraId="73D8379C" w14:textId="5349B646" w:rsidR="00EA1C0E" w:rsidRPr="005E0A2B" w:rsidRDefault="00461020" w:rsidP="00461020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461020">
              <w:rPr>
                <w:rFonts w:eastAsia="Times New Roman"/>
                <w:sz w:val="24"/>
                <w:szCs w:val="24"/>
                <w:lang w:eastAsia="ru-RU"/>
              </w:rPr>
              <w:t xml:space="preserve">позиций, субпозиций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61020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61020">
              <w:rPr>
                <w:rFonts w:eastAsia="Times New Roman"/>
                <w:sz w:val="24"/>
                <w:szCs w:val="24"/>
                <w:lang w:eastAsia="ru-RU"/>
              </w:rPr>
              <w:t>подсубпозиций</w:t>
            </w:r>
          </w:p>
        </w:tc>
        <w:tc>
          <w:tcPr>
            <w:tcW w:w="2659" w:type="dxa"/>
            <w:shd w:val="clear" w:color="auto" w:fill="auto"/>
            <w:tcMar>
              <w:top w:w="85" w:type="dxa"/>
              <w:bottom w:w="85" w:type="dxa"/>
            </w:tcMar>
          </w:tcPr>
          <w:p w14:paraId="48DA6132" w14:textId="77777777" w:rsidR="00EA1C0E" w:rsidRPr="00B55271" w:rsidRDefault="00EA1C0E" w:rsidP="00B83F35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rFonts w:eastAsia="Times New Roman"/>
                <w:sz w:val="24"/>
                <w:szCs w:val="24"/>
                <w:lang w:eastAsia="ru-RU"/>
              </w:rPr>
            </w:pPr>
            <w:r w:rsidRPr="00B55271">
              <w:rPr>
                <w:rFonts w:eastAsia="Times New Roman"/>
                <w:sz w:val="24"/>
                <w:szCs w:val="24"/>
                <w:lang w:eastAsia="ru-RU"/>
              </w:rPr>
              <w:t>Евразийская экономическая комиссия (P.ACT.001)</w:t>
            </w:r>
          </w:p>
        </w:tc>
      </w:tr>
    </w:tbl>
    <w:p w14:paraId="40C26DFC" w14:textId="77777777" w:rsidR="007B29FD" w:rsidRDefault="005844FA" w:rsidP="00FA2708">
      <w:pPr>
        <w:pStyle w:val="11"/>
      </w:pPr>
      <w:r>
        <w:rPr>
          <w:lang w:val="en-US"/>
        </w:rPr>
        <w:t>V</w:t>
      </w:r>
      <w:r w:rsidR="007B29FD" w:rsidRPr="00961F26">
        <w:t>.</w:t>
      </w:r>
      <w:r w:rsidR="007B29FD">
        <w:rPr>
          <w:lang w:val="en-US"/>
        </w:rPr>
        <w:t> </w:t>
      </w:r>
      <w:r w:rsidR="007B29FD" w:rsidRPr="00BB6075">
        <w:t>Описание</w:t>
      </w:r>
      <w:r w:rsidR="007B29FD" w:rsidRPr="00961F26">
        <w:t xml:space="preserve"> </w:t>
      </w:r>
      <w:r w:rsidR="007B29FD" w:rsidRPr="00BB6075">
        <w:t>процедуры</w:t>
      </w:r>
      <w:r w:rsidR="007B29FD" w:rsidRPr="00961F26">
        <w:t xml:space="preserve"> </w:t>
      </w:r>
      <w:r w:rsidR="007B29FD" w:rsidRPr="00BB6075">
        <w:t>присоединения</w:t>
      </w:r>
    </w:p>
    <w:p w14:paraId="7E02455E" w14:textId="77777777" w:rsidR="005844FA" w:rsidRDefault="005844FA" w:rsidP="00FA2708">
      <w:pPr>
        <w:pStyle w:val="21"/>
      </w:pPr>
      <w:r w:rsidRPr="00FA2708">
        <w:t>1. Общие требования</w:t>
      </w:r>
    </w:p>
    <w:p w14:paraId="382C2BC6" w14:textId="77777777" w:rsidR="00EA1C0E" w:rsidRDefault="001B2AB1" w:rsidP="00EA1C0E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="00EA1C0E" w:rsidRPr="00D72C4B">
        <w:rPr>
          <w:rFonts w:ascii="Times New Roman" w:hAnsi="Times New Roman"/>
          <w:lang w:val="ru-RU"/>
        </w:rPr>
        <w:t>.</w:t>
      </w:r>
      <w:r w:rsidR="00EA1C0E" w:rsidRPr="00D72C4B">
        <w:rPr>
          <w:rFonts w:ascii="Times New Roman" w:hAnsi="Times New Roman"/>
          <w:lang w:val="ru-RU"/>
        </w:rPr>
        <w:t> </w:t>
      </w:r>
      <w:r w:rsidR="00EA1C0E" w:rsidRPr="00D72C4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 xml:space="preserve"> </w:t>
      </w:r>
      <w:r w:rsidR="00EA1C0E" w:rsidRPr="00D72C4B">
        <w:rPr>
          <w:rFonts w:ascii="Times New Roman" w:hAnsi="Times New Roman"/>
          <w:lang w:val="ru-RU"/>
        </w:rPr>
        <w:t xml:space="preserve">выполнения процедуры присоединения к общему процессу </w:t>
      </w:r>
      <w:r>
        <w:rPr>
          <w:rFonts w:ascii="Times New Roman" w:hAnsi="Times New Roman"/>
          <w:lang w:val="ru-RU"/>
        </w:rPr>
        <w:t>п</w:t>
      </w:r>
      <w:r w:rsidRPr="00924FAB">
        <w:rPr>
          <w:rFonts w:ascii="Times New Roman" w:hAnsi="Times New Roman"/>
          <w:lang w:val="ru-RU"/>
        </w:rPr>
        <w:t>рисоединяющ</w:t>
      </w:r>
      <w:r>
        <w:rPr>
          <w:rFonts w:ascii="Times New Roman" w:hAnsi="Times New Roman"/>
          <w:lang w:val="ru-RU"/>
        </w:rPr>
        <w:t>имся</w:t>
      </w:r>
      <w:r w:rsidRPr="00924FAB">
        <w:rPr>
          <w:rFonts w:ascii="Times New Roman" w:hAnsi="Times New Roman"/>
          <w:lang w:val="ru-RU"/>
        </w:rPr>
        <w:t xml:space="preserve"> участник</w:t>
      </w:r>
      <w:r>
        <w:rPr>
          <w:rFonts w:ascii="Times New Roman" w:hAnsi="Times New Roman"/>
          <w:lang w:val="ru-RU"/>
        </w:rPr>
        <w:t>ом</w:t>
      </w:r>
      <w:r w:rsidRPr="00924FAB" w:rsidDel="00924FA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общего процесса</w:t>
      </w:r>
      <w:r w:rsidRPr="00D72C4B">
        <w:rPr>
          <w:rFonts w:ascii="Times New Roman" w:hAnsi="Times New Roman"/>
          <w:lang w:val="ru-RU"/>
        </w:rPr>
        <w:t xml:space="preserve"> </w:t>
      </w:r>
      <w:r w:rsidR="00EA1C0E" w:rsidRPr="00D72C4B">
        <w:rPr>
          <w:rFonts w:ascii="Times New Roman" w:hAnsi="Times New Roman"/>
          <w:lang w:val="ru-RU"/>
        </w:rPr>
        <w:t xml:space="preserve">должны быть выполнены необходимые для реализации общего процесса </w:t>
      </w:r>
      <w:r w:rsidR="001B18A9">
        <w:rPr>
          <w:rFonts w:ascii="Times New Roman" w:hAnsi="Times New Roman"/>
          <w:lang w:val="ru-RU"/>
        </w:rPr>
        <w:br/>
      </w:r>
      <w:r w:rsidR="00EA1C0E" w:rsidRPr="00D72C4B">
        <w:rPr>
          <w:rFonts w:ascii="Times New Roman" w:hAnsi="Times New Roman"/>
          <w:lang w:val="ru-RU"/>
        </w:rPr>
        <w:t xml:space="preserve">и обеспечения информационного взаимодействия требования, определенные документами, применяемыми при обеспечении </w:t>
      </w:r>
      <w:r w:rsidR="00EA1C0E" w:rsidRPr="00D72C4B">
        <w:rPr>
          <w:rFonts w:ascii="Times New Roman" w:hAnsi="Times New Roman"/>
          <w:lang w:val="ru-RU"/>
        </w:rPr>
        <w:lastRenderedPageBreak/>
        <w:t xml:space="preserve">функционирования интегрированной </w:t>
      </w:r>
      <w:r>
        <w:rPr>
          <w:rFonts w:ascii="Times New Roman" w:hAnsi="Times New Roman"/>
          <w:lang w:val="ru-RU"/>
        </w:rPr>
        <w:t xml:space="preserve">информационной </w:t>
      </w:r>
      <w:r w:rsidR="00EA1C0E" w:rsidRPr="00D72C4B">
        <w:rPr>
          <w:rFonts w:ascii="Times New Roman" w:hAnsi="Times New Roman"/>
          <w:lang w:val="ru-RU"/>
        </w:rPr>
        <w:t>системы</w:t>
      </w:r>
      <w:r>
        <w:rPr>
          <w:rFonts w:ascii="Times New Roman" w:hAnsi="Times New Roman"/>
          <w:lang w:val="ru-RU"/>
        </w:rPr>
        <w:t xml:space="preserve"> внешней и взаимной торговли</w:t>
      </w:r>
      <w:r w:rsidR="00EA1C0E" w:rsidRPr="00D72C4B">
        <w:rPr>
          <w:rFonts w:ascii="Times New Roman" w:hAnsi="Times New Roman"/>
          <w:lang w:val="ru-RU"/>
        </w:rPr>
        <w:t xml:space="preserve">, а также требования законодательства </w:t>
      </w:r>
      <w:r w:rsidRPr="001B2AB1">
        <w:rPr>
          <w:rFonts w:ascii="Times New Roman" w:hAnsi="Times New Roman"/>
          <w:lang w:val="ru-RU"/>
        </w:rPr>
        <w:t xml:space="preserve">государства – члена </w:t>
      </w:r>
      <w:r w:rsidR="00F201C3">
        <w:rPr>
          <w:rFonts w:ascii="Times New Roman" w:hAnsi="Times New Roman"/>
          <w:lang w:val="ru-RU"/>
        </w:rPr>
        <w:t>С</w:t>
      </w:r>
      <w:r w:rsidRPr="001B2AB1">
        <w:rPr>
          <w:rFonts w:ascii="Times New Roman" w:hAnsi="Times New Roman"/>
          <w:lang w:val="ru-RU"/>
        </w:rPr>
        <w:t>оюза (далее – государство-член)</w:t>
      </w:r>
      <w:r w:rsidR="00EA1C0E" w:rsidRPr="00D72C4B">
        <w:rPr>
          <w:rFonts w:ascii="Times New Roman" w:hAnsi="Times New Roman"/>
          <w:lang w:val="ru-RU"/>
        </w:rPr>
        <w:t>, регламентирующие информационное взаимодействие в рамках национального сегмента государства-члена.</w:t>
      </w:r>
    </w:p>
    <w:p w14:paraId="119811BD" w14:textId="77777777" w:rsidR="00EA1C0E" w:rsidRDefault="001B2AB1" w:rsidP="00EA1C0E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</w:t>
      </w:r>
      <w:r w:rsidR="00EA1C0E">
        <w:rPr>
          <w:rFonts w:ascii="Times New Roman" w:hAnsi="Times New Roman"/>
          <w:lang w:val="ru-RU"/>
        </w:rPr>
        <w:t>. </w:t>
      </w:r>
      <w:r w:rsidR="00CF4CD6" w:rsidRPr="00CF4CD6">
        <w:rPr>
          <w:rFonts w:ascii="Times New Roman" w:hAnsi="Times New Roman"/>
          <w:lang w:val="ru-RU"/>
        </w:rPr>
        <w:t>Выполнение процедуры присоединения к общему процессу осуществляется в следующем порядке</w:t>
      </w:r>
      <w:r w:rsidR="00EA1C0E">
        <w:rPr>
          <w:rFonts w:ascii="Times New Roman" w:hAnsi="Times New Roman"/>
          <w:lang w:val="ru-RU"/>
        </w:rPr>
        <w:t>:</w:t>
      </w:r>
    </w:p>
    <w:p w14:paraId="11ED4C17" w14:textId="77777777" w:rsidR="00CF4CD6" w:rsidRDefault="00CF4CD6" w:rsidP="00CF4CD6">
      <w:pPr>
        <w:pStyle w:val="ae"/>
        <w:tabs>
          <w:tab w:val="left" w:pos="1134"/>
        </w:tabs>
      </w:pPr>
      <w:proofErr w:type="gramStart"/>
      <w:r>
        <w:t>а</w:t>
      </w:r>
      <w:proofErr w:type="gramEnd"/>
      <w:r>
        <w:t>)</w:t>
      </w:r>
      <w:r w:rsidR="001B18A9">
        <w:t> </w:t>
      </w:r>
      <w:r>
        <w:t xml:space="preserve">назначение уполномоченного органа государства-члена, ответственного за обеспечение информационного взаимодействия </w:t>
      </w:r>
      <w:r w:rsidR="001B18A9">
        <w:br/>
      </w:r>
      <w:r>
        <w:t>в рамках общего процесса;</w:t>
      </w:r>
    </w:p>
    <w:p w14:paraId="578CCC52" w14:textId="77777777" w:rsidR="00EA1C0E" w:rsidRDefault="00CF4CD6" w:rsidP="00EA1C0E">
      <w:pPr>
        <w:pStyle w:val="af2"/>
        <w:tabs>
          <w:tab w:val="left" w:pos="1134"/>
        </w:tabs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б</w:t>
      </w:r>
      <w:proofErr w:type="gramEnd"/>
      <w:r w:rsidR="00EA1C0E">
        <w:rPr>
          <w:rFonts w:ascii="Times New Roman" w:hAnsi="Times New Roman"/>
          <w:lang w:val="ru-RU"/>
        </w:rPr>
        <w:t>)</w:t>
      </w:r>
      <w:r w:rsidR="001B18A9">
        <w:rPr>
          <w:rFonts w:ascii="Times New Roman" w:hAnsi="Times New Roman"/>
          <w:lang w:val="ru-RU"/>
        </w:rPr>
        <w:t> </w:t>
      </w:r>
      <w:r w:rsidR="00EA1C0E" w:rsidRPr="005504B5">
        <w:rPr>
          <w:rFonts w:ascii="Times New Roman" w:hAnsi="Times New Roman"/>
          <w:lang w:val="ru-RU"/>
        </w:rPr>
        <w:t xml:space="preserve">синхронизация информации справочников и классификаторов, </w:t>
      </w:r>
      <w:r w:rsidR="00C37FCF">
        <w:rPr>
          <w:rFonts w:ascii="Times New Roman" w:hAnsi="Times New Roman"/>
          <w:lang w:val="ru-RU"/>
        </w:rPr>
        <w:t>указанных</w:t>
      </w:r>
      <w:r w:rsidR="00C37FCF" w:rsidRPr="005504B5">
        <w:rPr>
          <w:rFonts w:ascii="Times New Roman" w:hAnsi="Times New Roman"/>
          <w:lang w:val="ru-RU"/>
        </w:rPr>
        <w:t xml:space="preserve"> </w:t>
      </w:r>
      <w:r w:rsidR="00EA1C0E" w:rsidRPr="005504B5">
        <w:rPr>
          <w:rFonts w:ascii="Times New Roman" w:hAnsi="Times New Roman"/>
          <w:lang w:val="ru-RU"/>
        </w:rPr>
        <w:t>в</w:t>
      </w:r>
      <w:r w:rsidR="00DC3E71">
        <w:rPr>
          <w:rFonts w:ascii="Times New Roman" w:hAnsi="Times New Roman"/>
          <w:lang w:val="ru-RU"/>
        </w:rPr>
        <w:t xml:space="preserve"> разделе </w:t>
      </w:r>
      <w:r w:rsidR="00DC3E71">
        <w:rPr>
          <w:rFonts w:ascii="Times New Roman" w:hAnsi="Times New Roman"/>
        </w:rPr>
        <w:t>VII</w:t>
      </w:r>
      <w:r w:rsidR="00EA1C0E" w:rsidRPr="005504B5">
        <w:rPr>
          <w:rFonts w:ascii="Times New Roman" w:hAnsi="Times New Roman"/>
          <w:lang w:val="ru-RU"/>
        </w:rPr>
        <w:t xml:space="preserve"> Правил информационного взаимодействия;</w:t>
      </w:r>
    </w:p>
    <w:p w14:paraId="4F8747F2" w14:textId="691DD71F" w:rsidR="00EA1C0E" w:rsidRDefault="00CF4CD6" w:rsidP="00461020">
      <w:pPr>
        <w:pStyle w:val="af2"/>
        <w:tabs>
          <w:tab w:val="left" w:pos="1134"/>
        </w:tabs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в</w:t>
      </w:r>
      <w:proofErr w:type="gramEnd"/>
      <w:r w:rsidR="00EA1C0E">
        <w:rPr>
          <w:rFonts w:ascii="Times New Roman" w:hAnsi="Times New Roman"/>
          <w:lang w:val="ru-RU"/>
        </w:rPr>
        <w:t>)</w:t>
      </w:r>
      <w:r w:rsidR="001B18A9">
        <w:rPr>
          <w:rFonts w:ascii="Times New Roman" w:hAnsi="Times New Roman"/>
          <w:lang w:val="ru-RU"/>
        </w:rPr>
        <w:t> </w:t>
      </w:r>
      <w:r w:rsidR="00EA1C0E" w:rsidRPr="005504B5">
        <w:rPr>
          <w:rFonts w:ascii="Times New Roman" w:hAnsi="Times New Roman"/>
          <w:lang w:val="ru-RU"/>
        </w:rPr>
        <w:t xml:space="preserve">подготовка и передача </w:t>
      </w:r>
      <w:r w:rsidR="00B26D82">
        <w:rPr>
          <w:rFonts w:ascii="Times New Roman" w:hAnsi="Times New Roman"/>
          <w:lang w:val="ru-RU"/>
        </w:rPr>
        <w:t>присоединяюще</w:t>
      </w:r>
      <w:r w:rsidR="00B26D82" w:rsidRPr="00CF4CD6">
        <w:rPr>
          <w:rFonts w:ascii="Times New Roman" w:hAnsi="Times New Roman"/>
          <w:lang w:val="ru-RU"/>
        </w:rPr>
        <w:t>м</w:t>
      </w:r>
      <w:r w:rsidR="00B26D82">
        <w:rPr>
          <w:rFonts w:ascii="Times New Roman" w:hAnsi="Times New Roman"/>
          <w:lang w:val="ru-RU"/>
        </w:rPr>
        <w:t>уся участнику</w:t>
      </w:r>
      <w:r w:rsidR="00B26D82" w:rsidRPr="00CF4CD6">
        <w:rPr>
          <w:rFonts w:ascii="Times New Roman" w:hAnsi="Times New Roman"/>
          <w:lang w:val="ru-RU"/>
        </w:rPr>
        <w:t xml:space="preserve"> общего процесса</w:t>
      </w:r>
      <w:r w:rsidR="00B26D82">
        <w:rPr>
          <w:rFonts w:ascii="Times New Roman" w:hAnsi="Times New Roman"/>
          <w:lang w:val="ru-RU"/>
        </w:rPr>
        <w:t xml:space="preserve"> актуальной версии ТН ВЭД ЕАЭС и </w:t>
      </w:r>
      <w:r w:rsidR="00B26D82" w:rsidRPr="00144F81">
        <w:rPr>
          <w:rFonts w:ascii="Times New Roman" w:hAnsi="Times New Roman"/>
          <w:lang w:val="ru-RU"/>
        </w:rPr>
        <w:t>ЕТТ</w:t>
      </w:r>
      <w:r w:rsidR="00B26D82">
        <w:rPr>
          <w:rFonts w:ascii="Times New Roman" w:hAnsi="Times New Roman"/>
          <w:lang w:val="ru-RU"/>
        </w:rPr>
        <w:t> </w:t>
      </w:r>
      <w:r w:rsidR="00B26D82" w:rsidRPr="00144F81">
        <w:rPr>
          <w:rFonts w:ascii="Times New Roman" w:hAnsi="Times New Roman"/>
          <w:lang w:val="ru-RU"/>
        </w:rPr>
        <w:t>ЕАЭС</w:t>
      </w:r>
      <w:r w:rsidR="00B26D82">
        <w:rPr>
          <w:rFonts w:ascii="Times New Roman" w:hAnsi="Times New Roman"/>
          <w:lang w:val="ru-RU"/>
        </w:rPr>
        <w:t xml:space="preserve"> с учетом изменений, внесенных в эталонную версию за период </w:t>
      </w:r>
      <w:r w:rsidR="00A40EE1" w:rsidRPr="00A40EE1">
        <w:rPr>
          <w:rFonts w:ascii="Times New Roman" w:hAnsi="Times New Roman"/>
          <w:lang w:val="ru-RU"/>
        </w:rPr>
        <w:t xml:space="preserve">от даты вступления в силу акта, утверждающего </w:t>
      </w:r>
      <w:r w:rsidR="00A40EE1">
        <w:rPr>
          <w:rFonts w:ascii="Times New Roman" w:hAnsi="Times New Roman"/>
          <w:lang w:val="ru-RU"/>
        </w:rPr>
        <w:t xml:space="preserve">ТН ВЭД ЕАЭС и </w:t>
      </w:r>
      <w:r w:rsidR="00A40EE1" w:rsidRPr="00144F81">
        <w:rPr>
          <w:rFonts w:ascii="Times New Roman" w:hAnsi="Times New Roman"/>
          <w:lang w:val="ru-RU"/>
        </w:rPr>
        <w:t>ЕТТ</w:t>
      </w:r>
      <w:r w:rsidR="00A40EE1">
        <w:rPr>
          <w:rFonts w:ascii="Times New Roman" w:hAnsi="Times New Roman"/>
          <w:lang w:val="ru-RU"/>
        </w:rPr>
        <w:t> </w:t>
      </w:r>
      <w:r w:rsidR="00A40EE1" w:rsidRPr="00144F81">
        <w:rPr>
          <w:rFonts w:ascii="Times New Roman" w:hAnsi="Times New Roman"/>
          <w:lang w:val="ru-RU"/>
        </w:rPr>
        <w:t>ЕАЭС</w:t>
      </w:r>
      <w:r w:rsidR="00A40EE1" w:rsidRPr="00A40EE1">
        <w:rPr>
          <w:rFonts w:ascii="Times New Roman" w:hAnsi="Times New Roman"/>
          <w:lang w:val="ru-RU"/>
        </w:rPr>
        <w:t>, до момента присоединения</w:t>
      </w:r>
      <w:r w:rsidR="00B26D82">
        <w:rPr>
          <w:rFonts w:ascii="Times New Roman" w:hAnsi="Times New Roman"/>
          <w:lang w:val="ru-RU"/>
        </w:rPr>
        <w:t xml:space="preserve">, </w:t>
      </w:r>
      <w:r w:rsidR="00461020" w:rsidRPr="00461020">
        <w:rPr>
          <w:rFonts w:ascii="Times New Roman" w:hAnsi="Times New Roman"/>
          <w:lang w:val="ru-RU"/>
        </w:rPr>
        <w:t>а также информации о соответствии кодов</w:t>
      </w:r>
      <w:r w:rsidR="00461020">
        <w:rPr>
          <w:rFonts w:ascii="Times New Roman" w:hAnsi="Times New Roman"/>
          <w:lang w:val="ru-RU"/>
        </w:rPr>
        <w:t xml:space="preserve"> разных редакций </w:t>
      </w:r>
      <w:r w:rsidR="00461020" w:rsidRPr="00461020">
        <w:rPr>
          <w:rFonts w:ascii="Times New Roman" w:hAnsi="Times New Roman"/>
          <w:lang w:val="ru-RU"/>
        </w:rPr>
        <w:t xml:space="preserve">ТН ВЭД ЕАЭС на уровне товарных позиций, субпозиций </w:t>
      </w:r>
      <w:r w:rsidR="00461020">
        <w:rPr>
          <w:rFonts w:ascii="Times New Roman" w:hAnsi="Times New Roman"/>
          <w:lang w:val="ru-RU"/>
        </w:rPr>
        <w:br/>
      </w:r>
      <w:r w:rsidR="00461020" w:rsidRPr="00461020">
        <w:rPr>
          <w:rFonts w:ascii="Times New Roman" w:hAnsi="Times New Roman"/>
          <w:lang w:val="ru-RU"/>
        </w:rPr>
        <w:t>и</w:t>
      </w:r>
      <w:r w:rsidR="00461020">
        <w:rPr>
          <w:rFonts w:ascii="Times New Roman" w:hAnsi="Times New Roman"/>
          <w:lang w:val="ru-RU"/>
        </w:rPr>
        <w:t xml:space="preserve"> </w:t>
      </w:r>
      <w:proofErr w:type="spellStart"/>
      <w:r w:rsidR="00461020" w:rsidRPr="00461020">
        <w:rPr>
          <w:rFonts w:ascii="Times New Roman" w:hAnsi="Times New Roman"/>
          <w:lang w:val="ru-RU"/>
        </w:rPr>
        <w:t>подсубпозиций</w:t>
      </w:r>
      <w:proofErr w:type="spellEnd"/>
      <w:r w:rsidR="00461020">
        <w:rPr>
          <w:rFonts w:ascii="Times New Roman" w:hAnsi="Times New Roman"/>
          <w:lang w:val="ru-RU"/>
        </w:rPr>
        <w:t xml:space="preserve"> </w:t>
      </w:r>
      <w:r w:rsidR="006509D2">
        <w:rPr>
          <w:rFonts w:ascii="Times New Roman" w:hAnsi="Times New Roman"/>
          <w:lang w:val="ru-RU"/>
        </w:rPr>
        <w:t>(далее – актуальная версия ТН ВЭД ЕАЭС и ЕТТ ЕАЭС)</w:t>
      </w:r>
      <w:r w:rsidR="00EA1C0E" w:rsidRPr="005504B5">
        <w:rPr>
          <w:rFonts w:ascii="Times New Roman" w:hAnsi="Times New Roman"/>
          <w:lang w:val="ru-RU"/>
        </w:rPr>
        <w:t>.</w:t>
      </w:r>
    </w:p>
    <w:p w14:paraId="13DFE6CF" w14:textId="5F1BD169" w:rsidR="00CF4CD6" w:rsidRDefault="00CF4CD6" w:rsidP="007C02D9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 Получение присоединяющимся участником общего процесса справочников и классификаторов, указанных в</w:t>
      </w:r>
      <w:r w:rsidR="007C02D9">
        <w:rPr>
          <w:rFonts w:ascii="Times New Roman" w:hAnsi="Times New Roman"/>
          <w:lang w:val="ru-RU"/>
        </w:rPr>
        <w:t xml:space="preserve"> разделе </w:t>
      </w:r>
      <w:r w:rsidR="007C02D9">
        <w:rPr>
          <w:rFonts w:ascii="Times New Roman" w:hAnsi="Times New Roman"/>
        </w:rPr>
        <w:t>VII</w:t>
      </w:r>
      <w:r>
        <w:rPr>
          <w:rFonts w:ascii="Times New Roman" w:hAnsi="Times New Roman"/>
          <w:lang w:val="ru-RU"/>
        </w:rPr>
        <w:t xml:space="preserve"> Правил информационного взаимодействия, осуществляется в соответствии </w:t>
      </w:r>
      <w:r w:rsidR="00F201C3"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lang w:val="ru-RU"/>
        </w:rPr>
        <w:t>с технологическими документами, регламентирующими информационное взаимодействие при реализации общего процесса</w:t>
      </w:r>
      <w:r w:rsidR="007C02D9">
        <w:rPr>
          <w:rFonts w:ascii="Times New Roman" w:hAnsi="Times New Roman"/>
          <w:lang w:val="ru-RU"/>
        </w:rPr>
        <w:t xml:space="preserve"> «</w:t>
      </w:r>
      <w:r w:rsidR="007C02D9" w:rsidRPr="007C02D9">
        <w:rPr>
          <w:rFonts w:ascii="Times New Roman" w:hAnsi="Times New Roman"/>
          <w:lang w:val="ru-RU"/>
        </w:rPr>
        <w:t>Формирование, ведение и использование классификаторов, используемых для заполнения таможенных деклараций</w:t>
      </w:r>
      <w:r w:rsidR="007C02D9">
        <w:rPr>
          <w:rFonts w:ascii="Times New Roman" w:hAnsi="Times New Roman"/>
          <w:lang w:val="ru-RU"/>
        </w:rPr>
        <w:t xml:space="preserve">», </w:t>
      </w:r>
      <w:r w:rsidR="007C02D9" w:rsidRPr="007C02D9">
        <w:rPr>
          <w:rFonts w:ascii="Times New Roman" w:hAnsi="Times New Roman"/>
          <w:lang w:val="ru-RU"/>
        </w:rPr>
        <w:t xml:space="preserve">утвержденного Решением Коллегии Евразийской экономической комиссии от 19 января </w:t>
      </w:r>
      <w:r w:rsidR="007C02D9" w:rsidRPr="007C02D9">
        <w:rPr>
          <w:rFonts w:ascii="Times New Roman" w:hAnsi="Times New Roman"/>
          <w:lang w:val="ru-RU"/>
        </w:rPr>
        <w:lastRenderedPageBreak/>
        <w:t>2016 г. № 5</w:t>
      </w:r>
      <w:r w:rsidR="00D13DE8">
        <w:rPr>
          <w:rFonts w:ascii="Times New Roman" w:hAnsi="Times New Roman"/>
          <w:lang w:val="ru-RU"/>
        </w:rPr>
        <w:t>, а также с использованием ресурсов информационного портала Союза</w:t>
      </w:r>
      <w:r>
        <w:rPr>
          <w:rFonts w:ascii="Times New Roman" w:hAnsi="Times New Roman"/>
          <w:lang w:val="ru-RU"/>
        </w:rPr>
        <w:t>.</w:t>
      </w:r>
    </w:p>
    <w:p w14:paraId="0FA64927" w14:textId="011BCD4D" w:rsidR="00C63D06" w:rsidRDefault="000672BC" w:rsidP="007C02D9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 П</w:t>
      </w:r>
      <w:r w:rsidRPr="005504B5">
        <w:rPr>
          <w:rFonts w:ascii="Times New Roman" w:hAnsi="Times New Roman"/>
          <w:lang w:val="ru-RU"/>
        </w:rPr>
        <w:t xml:space="preserve">одготовка и передача </w:t>
      </w:r>
      <w:r>
        <w:rPr>
          <w:rFonts w:ascii="Times New Roman" w:hAnsi="Times New Roman"/>
          <w:lang w:val="ru-RU"/>
        </w:rPr>
        <w:t>присоединяюще</w:t>
      </w:r>
      <w:r w:rsidRPr="00CF4CD6">
        <w:rPr>
          <w:rFonts w:ascii="Times New Roman" w:hAnsi="Times New Roman"/>
          <w:lang w:val="ru-RU"/>
        </w:rPr>
        <w:t>м</w:t>
      </w:r>
      <w:r>
        <w:rPr>
          <w:rFonts w:ascii="Times New Roman" w:hAnsi="Times New Roman"/>
          <w:lang w:val="ru-RU"/>
        </w:rPr>
        <w:t>уся участнику</w:t>
      </w:r>
      <w:r w:rsidRPr="00CF4CD6">
        <w:rPr>
          <w:rFonts w:ascii="Times New Roman" w:hAnsi="Times New Roman"/>
          <w:lang w:val="ru-RU"/>
        </w:rPr>
        <w:t xml:space="preserve"> общего процесса</w:t>
      </w:r>
      <w:r>
        <w:rPr>
          <w:rFonts w:ascii="Times New Roman" w:hAnsi="Times New Roman"/>
          <w:lang w:val="ru-RU"/>
        </w:rPr>
        <w:t xml:space="preserve"> актуальной версии ТН ВЭД ЕАЭС и </w:t>
      </w:r>
      <w:r w:rsidRPr="00144F81">
        <w:rPr>
          <w:rFonts w:ascii="Times New Roman" w:hAnsi="Times New Roman"/>
          <w:lang w:val="ru-RU"/>
        </w:rPr>
        <w:t>ЕТТ</w:t>
      </w:r>
      <w:r>
        <w:rPr>
          <w:rFonts w:ascii="Times New Roman" w:hAnsi="Times New Roman"/>
          <w:lang w:val="ru-RU"/>
        </w:rPr>
        <w:t> </w:t>
      </w:r>
      <w:r w:rsidRPr="00144F81">
        <w:rPr>
          <w:rFonts w:ascii="Times New Roman" w:hAnsi="Times New Roman"/>
          <w:lang w:val="ru-RU"/>
        </w:rPr>
        <w:t>ЕАЭС</w:t>
      </w:r>
      <w:r>
        <w:rPr>
          <w:rFonts w:ascii="Times New Roman" w:hAnsi="Times New Roman"/>
          <w:lang w:val="ru-RU"/>
        </w:rPr>
        <w:t xml:space="preserve"> осуществляется Комиссией</w:t>
      </w:r>
      <w:r w:rsidR="00C63D06">
        <w:rPr>
          <w:rFonts w:ascii="Times New Roman" w:hAnsi="Times New Roman"/>
          <w:lang w:val="ru-RU"/>
        </w:rPr>
        <w:t>.</w:t>
      </w:r>
    </w:p>
    <w:p w14:paraId="79510840" w14:textId="628CEDB4" w:rsidR="00C63D06" w:rsidRDefault="00C63D06" w:rsidP="00C87E70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10. Актуальная версия ТН ВЭД ЕАЭС и ЕТТ ЕАЭС </w:t>
      </w:r>
      <w:r w:rsidRPr="006509D2">
        <w:rPr>
          <w:rFonts w:ascii="Times New Roman" w:hAnsi="Times New Roman"/>
          <w:lang w:val="ru-RU"/>
        </w:rPr>
        <w:t>представляется в виде XML-</w:t>
      </w:r>
      <w:r w:rsidR="00CD624A" w:rsidRPr="006509D2">
        <w:rPr>
          <w:rFonts w:ascii="Times New Roman" w:hAnsi="Times New Roman"/>
          <w:lang w:val="ru-RU"/>
        </w:rPr>
        <w:t>документ</w:t>
      </w:r>
      <w:r w:rsidR="00CD624A">
        <w:rPr>
          <w:rFonts w:ascii="Times New Roman" w:hAnsi="Times New Roman"/>
          <w:lang w:val="ru-RU"/>
        </w:rPr>
        <w:t>ов</w:t>
      </w:r>
      <w:r w:rsidRPr="006509D2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  <w:r w:rsidRPr="006509D2">
        <w:rPr>
          <w:rFonts w:ascii="Times New Roman" w:hAnsi="Times New Roman"/>
          <w:lang w:val="ru-RU"/>
        </w:rPr>
        <w:t>Структура и реквизитный состав XML-</w:t>
      </w:r>
      <w:r w:rsidR="00CD624A" w:rsidRPr="006509D2">
        <w:rPr>
          <w:rFonts w:ascii="Times New Roman" w:hAnsi="Times New Roman"/>
          <w:lang w:val="ru-RU"/>
        </w:rPr>
        <w:t>документ</w:t>
      </w:r>
      <w:r w:rsidR="00CD624A">
        <w:rPr>
          <w:rFonts w:ascii="Times New Roman" w:hAnsi="Times New Roman"/>
          <w:lang w:val="ru-RU"/>
        </w:rPr>
        <w:t>ов</w:t>
      </w:r>
      <w:r w:rsidRPr="006509D2">
        <w:rPr>
          <w:rFonts w:ascii="Times New Roman" w:hAnsi="Times New Roman"/>
          <w:lang w:val="ru-RU"/>
        </w:rPr>
        <w:t xml:space="preserve">, </w:t>
      </w:r>
      <w:r w:rsidR="00CD624A" w:rsidRPr="006509D2">
        <w:rPr>
          <w:rFonts w:ascii="Times New Roman" w:hAnsi="Times New Roman"/>
          <w:lang w:val="ru-RU"/>
        </w:rPr>
        <w:t>содержащ</w:t>
      </w:r>
      <w:r w:rsidR="00CD624A">
        <w:rPr>
          <w:rFonts w:ascii="Times New Roman" w:hAnsi="Times New Roman"/>
          <w:lang w:val="ru-RU"/>
        </w:rPr>
        <w:t>их</w:t>
      </w:r>
      <w:r w:rsidR="00CD624A" w:rsidRPr="006509D2">
        <w:rPr>
          <w:rFonts w:ascii="Times New Roman" w:hAnsi="Times New Roman"/>
          <w:lang w:val="ru-RU"/>
        </w:rPr>
        <w:t xml:space="preserve"> </w:t>
      </w:r>
      <w:r w:rsidRPr="006509D2">
        <w:rPr>
          <w:rFonts w:ascii="Times New Roman" w:hAnsi="Times New Roman"/>
          <w:lang w:val="ru-RU"/>
        </w:rPr>
        <w:t xml:space="preserve">сведения </w:t>
      </w:r>
      <w:r>
        <w:rPr>
          <w:rFonts w:ascii="Times New Roman" w:hAnsi="Times New Roman"/>
          <w:lang w:val="ru-RU"/>
        </w:rPr>
        <w:t xml:space="preserve">актуальной версии </w:t>
      </w:r>
      <w:r>
        <w:rPr>
          <w:rFonts w:ascii="Times New Roman" w:hAnsi="Times New Roman"/>
          <w:lang w:val="ru-RU"/>
        </w:rPr>
        <w:br/>
        <w:t>ТН ВЭД ЕАЭС</w:t>
      </w:r>
      <w:r w:rsidR="00FA565D">
        <w:rPr>
          <w:rFonts w:ascii="Times New Roman" w:hAnsi="Times New Roman"/>
          <w:lang w:val="ru-RU"/>
        </w:rPr>
        <w:t xml:space="preserve"> и ЕТТ ЕАЭС</w:t>
      </w:r>
      <w:r w:rsidRPr="006509D2">
        <w:rPr>
          <w:rFonts w:ascii="Times New Roman" w:hAnsi="Times New Roman"/>
          <w:lang w:val="ru-RU"/>
        </w:rPr>
        <w:t>, должны соответствовать структур</w:t>
      </w:r>
      <w:r w:rsidR="00C87E70">
        <w:rPr>
          <w:rFonts w:ascii="Times New Roman" w:hAnsi="Times New Roman"/>
          <w:lang w:val="ru-RU"/>
        </w:rPr>
        <w:t>ам</w:t>
      </w:r>
      <w:r w:rsidRPr="006509D2">
        <w:rPr>
          <w:rFonts w:ascii="Times New Roman" w:hAnsi="Times New Roman"/>
          <w:lang w:val="ru-RU"/>
        </w:rPr>
        <w:t xml:space="preserve"> электронн</w:t>
      </w:r>
      <w:r w:rsidR="00C87E70">
        <w:rPr>
          <w:rFonts w:ascii="Times New Roman" w:hAnsi="Times New Roman"/>
          <w:lang w:val="ru-RU"/>
        </w:rPr>
        <w:t>ых</w:t>
      </w:r>
      <w:r w:rsidRPr="006509D2">
        <w:rPr>
          <w:rFonts w:ascii="Times New Roman" w:hAnsi="Times New Roman"/>
          <w:lang w:val="ru-RU"/>
        </w:rPr>
        <w:t xml:space="preserve"> документ</w:t>
      </w:r>
      <w:r w:rsidR="00C87E70">
        <w:rPr>
          <w:rFonts w:ascii="Times New Roman" w:hAnsi="Times New Roman"/>
          <w:lang w:val="ru-RU"/>
        </w:rPr>
        <w:t>ов</w:t>
      </w:r>
      <w:r w:rsidRPr="006509D2">
        <w:rPr>
          <w:rFonts w:ascii="Times New Roman" w:hAnsi="Times New Roman"/>
          <w:lang w:val="ru-RU"/>
        </w:rPr>
        <w:t xml:space="preserve"> (сведений)</w:t>
      </w:r>
      <w:r>
        <w:rPr>
          <w:rFonts w:ascii="Times New Roman" w:hAnsi="Times New Roman"/>
          <w:lang w:val="ru-RU"/>
        </w:rPr>
        <w:t xml:space="preserve"> </w:t>
      </w:r>
      <w:r w:rsidR="00C87E70">
        <w:rPr>
          <w:rFonts w:ascii="Times New Roman" w:hAnsi="Times New Roman"/>
          <w:lang w:val="ru-RU"/>
        </w:rPr>
        <w:t>«</w:t>
      </w:r>
      <w:r w:rsidR="00D13DE8" w:rsidRPr="00D13DE8">
        <w:rPr>
          <w:rFonts w:ascii="Times New Roman" w:hAnsi="Times New Roman"/>
          <w:lang w:val="ru-RU"/>
        </w:rPr>
        <w:t xml:space="preserve">Сведения из справочника позиций </w:t>
      </w:r>
      <w:r w:rsidR="00FA565D" w:rsidRPr="00D13DE8">
        <w:rPr>
          <w:rFonts w:ascii="Times New Roman" w:hAnsi="Times New Roman"/>
          <w:lang w:val="ru-RU"/>
        </w:rPr>
        <w:t xml:space="preserve">ТН ВЭД ЕАЭС </w:t>
      </w:r>
      <w:r w:rsidR="00D13DE8" w:rsidRPr="00D13DE8">
        <w:rPr>
          <w:rFonts w:ascii="Times New Roman" w:hAnsi="Times New Roman"/>
          <w:lang w:val="ru-RU"/>
        </w:rPr>
        <w:t>и ставок ввозных таможенных пошлин ЕТТ ЕАЭС</w:t>
      </w:r>
      <w:r w:rsidR="00C87E70">
        <w:rPr>
          <w:rFonts w:ascii="Times New Roman" w:hAnsi="Times New Roman"/>
          <w:lang w:val="ru-RU"/>
        </w:rPr>
        <w:t>»</w:t>
      </w:r>
      <w:r w:rsidR="00C87E70" w:rsidRPr="00C87E70">
        <w:rPr>
          <w:rFonts w:ascii="Times New Roman" w:hAnsi="Times New Roman"/>
          <w:lang w:val="ru-RU"/>
        </w:rPr>
        <w:t xml:space="preserve"> (R.CT.GC.01.001), </w:t>
      </w:r>
      <w:r w:rsidR="00C87E70">
        <w:rPr>
          <w:rFonts w:ascii="Times New Roman" w:hAnsi="Times New Roman"/>
          <w:lang w:val="ru-RU"/>
        </w:rPr>
        <w:t>«С</w:t>
      </w:r>
      <w:r w:rsidR="00C87E70" w:rsidRPr="00C87E70">
        <w:rPr>
          <w:rFonts w:ascii="Times New Roman" w:hAnsi="Times New Roman"/>
          <w:lang w:val="ru-RU"/>
        </w:rPr>
        <w:t>ведения из справочника примечаний к ТН ВЭД ЕАЭС</w:t>
      </w:r>
      <w:r w:rsidR="00C87E70">
        <w:rPr>
          <w:rFonts w:ascii="Times New Roman" w:hAnsi="Times New Roman"/>
          <w:lang w:val="ru-RU"/>
        </w:rPr>
        <w:t>»</w:t>
      </w:r>
      <w:r w:rsidR="00C87E70" w:rsidRPr="00C87E70">
        <w:rPr>
          <w:rFonts w:ascii="Times New Roman" w:hAnsi="Times New Roman"/>
          <w:lang w:val="ru-RU"/>
        </w:rPr>
        <w:t xml:space="preserve"> (R.CT.GC.01.003), </w:t>
      </w:r>
      <w:r w:rsidR="00C87E70">
        <w:rPr>
          <w:rFonts w:ascii="Times New Roman" w:hAnsi="Times New Roman"/>
          <w:lang w:val="ru-RU"/>
        </w:rPr>
        <w:t>«С</w:t>
      </w:r>
      <w:r w:rsidR="00C87E70" w:rsidRPr="00C87E70">
        <w:rPr>
          <w:rFonts w:ascii="Times New Roman" w:hAnsi="Times New Roman"/>
          <w:lang w:val="ru-RU"/>
        </w:rPr>
        <w:t xml:space="preserve">ведения из справочника примечаний </w:t>
      </w:r>
      <w:r w:rsidR="00D13DE8">
        <w:rPr>
          <w:rFonts w:ascii="Times New Roman" w:hAnsi="Times New Roman"/>
          <w:lang w:val="ru-RU"/>
        </w:rPr>
        <w:br/>
      </w:r>
      <w:r w:rsidR="00C87E70" w:rsidRPr="00C87E70">
        <w:rPr>
          <w:rFonts w:ascii="Times New Roman" w:hAnsi="Times New Roman"/>
          <w:lang w:val="ru-RU"/>
        </w:rPr>
        <w:t>к разделам и товарным группам ТН ВЭД ЕАЭС</w:t>
      </w:r>
      <w:r w:rsidR="00C87E70">
        <w:rPr>
          <w:rFonts w:ascii="Times New Roman" w:hAnsi="Times New Roman"/>
          <w:lang w:val="ru-RU"/>
        </w:rPr>
        <w:t>»</w:t>
      </w:r>
      <w:r w:rsidR="00C87E70" w:rsidRPr="00C87E70">
        <w:rPr>
          <w:rFonts w:ascii="Times New Roman" w:hAnsi="Times New Roman"/>
          <w:lang w:val="ru-RU"/>
        </w:rPr>
        <w:t xml:space="preserve"> (R.CT.GC.01.004), </w:t>
      </w:r>
      <w:r w:rsidR="00C87E70">
        <w:rPr>
          <w:rFonts w:ascii="Times New Roman" w:hAnsi="Times New Roman"/>
          <w:lang w:val="ru-RU"/>
        </w:rPr>
        <w:t>«С</w:t>
      </w:r>
      <w:r w:rsidR="00C87E70" w:rsidRPr="00C87E70">
        <w:rPr>
          <w:rFonts w:ascii="Times New Roman" w:hAnsi="Times New Roman"/>
          <w:lang w:val="ru-RU"/>
        </w:rPr>
        <w:t xml:space="preserve">ведения из справочника сведений о соответствии кодов версий </w:t>
      </w:r>
      <w:r w:rsidR="00D13DE8">
        <w:rPr>
          <w:rFonts w:ascii="Times New Roman" w:hAnsi="Times New Roman"/>
          <w:lang w:val="ru-RU"/>
        </w:rPr>
        <w:br/>
      </w:r>
      <w:r w:rsidR="00C87E70" w:rsidRPr="00C87E70">
        <w:rPr>
          <w:rFonts w:ascii="Times New Roman" w:hAnsi="Times New Roman"/>
          <w:lang w:val="ru-RU"/>
        </w:rPr>
        <w:t xml:space="preserve">ТН ВЭД ЕАЭС на уровне товарных позиций, субпозиций </w:t>
      </w:r>
      <w:r w:rsidR="00CE0BD7">
        <w:rPr>
          <w:rFonts w:ascii="Times New Roman" w:hAnsi="Times New Roman"/>
          <w:lang w:val="ru-RU"/>
        </w:rPr>
        <w:br/>
      </w:r>
      <w:r w:rsidR="00C87E70" w:rsidRPr="00C87E70">
        <w:rPr>
          <w:rFonts w:ascii="Times New Roman" w:hAnsi="Times New Roman"/>
          <w:lang w:val="ru-RU"/>
        </w:rPr>
        <w:t xml:space="preserve">и </w:t>
      </w:r>
      <w:proofErr w:type="spellStart"/>
      <w:r w:rsidR="00C87E70" w:rsidRPr="00C87E70">
        <w:rPr>
          <w:rFonts w:ascii="Times New Roman" w:hAnsi="Times New Roman"/>
          <w:lang w:val="ru-RU"/>
        </w:rPr>
        <w:t>подсубпозиций</w:t>
      </w:r>
      <w:proofErr w:type="spellEnd"/>
      <w:r w:rsidR="00C87E70" w:rsidRPr="00C87E70">
        <w:rPr>
          <w:rFonts w:ascii="Times New Roman" w:hAnsi="Times New Roman"/>
          <w:lang w:val="ru-RU"/>
        </w:rPr>
        <w:t>, формируемых с учетом вносимых в нее изменений</w:t>
      </w:r>
      <w:r w:rsidR="00C87E70">
        <w:rPr>
          <w:rFonts w:ascii="Times New Roman" w:hAnsi="Times New Roman"/>
          <w:lang w:val="ru-RU"/>
        </w:rPr>
        <w:t>»</w:t>
      </w:r>
      <w:r w:rsidR="00C87E70" w:rsidRPr="00C87E70">
        <w:rPr>
          <w:rFonts w:ascii="Times New Roman" w:hAnsi="Times New Roman"/>
          <w:lang w:val="ru-RU"/>
        </w:rPr>
        <w:t xml:space="preserve"> (R.CT.GC.01.005)</w:t>
      </w:r>
      <w:r>
        <w:rPr>
          <w:rFonts w:ascii="Times New Roman" w:hAnsi="Times New Roman"/>
          <w:lang w:val="ru-RU"/>
        </w:rPr>
        <w:t xml:space="preserve">, </w:t>
      </w:r>
      <w:r w:rsidRPr="006509D2">
        <w:rPr>
          <w:rFonts w:ascii="Times New Roman" w:hAnsi="Times New Roman"/>
          <w:lang w:val="ru-RU"/>
        </w:rPr>
        <w:t>приведенн</w:t>
      </w:r>
      <w:r w:rsidR="00C87E70">
        <w:rPr>
          <w:rFonts w:ascii="Times New Roman" w:hAnsi="Times New Roman"/>
          <w:lang w:val="ru-RU"/>
        </w:rPr>
        <w:t>ых</w:t>
      </w:r>
      <w:r w:rsidRPr="006509D2">
        <w:rPr>
          <w:rFonts w:ascii="Times New Roman" w:hAnsi="Times New Roman"/>
          <w:lang w:val="ru-RU"/>
        </w:rPr>
        <w:t xml:space="preserve"> в Описании форматов </w:t>
      </w:r>
      <w:r>
        <w:rPr>
          <w:rFonts w:ascii="Times New Roman" w:hAnsi="Times New Roman"/>
          <w:lang w:val="ru-RU"/>
        </w:rPr>
        <w:br/>
      </w:r>
      <w:r w:rsidRPr="006509D2">
        <w:rPr>
          <w:rFonts w:ascii="Times New Roman" w:hAnsi="Times New Roman"/>
          <w:lang w:val="ru-RU"/>
        </w:rPr>
        <w:t xml:space="preserve">и структур электронных документов и сведений, используемых для реализации средствами интегрированной информационной системы </w:t>
      </w:r>
      <w:r>
        <w:rPr>
          <w:rFonts w:ascii="Times New Roman" w:hAnsi="Times New Roman"/>
          <w:lang w:val="ru-RU"/>
        </w:rPr>
        <w:t xml:space="preserve">Евразийского экономического союза </w:t>
      </w:r>
      <w:r w:rsidRPr="006509D2">
        <w:rPr>
          <w:rFonts w:ascii="Times New Roman" w:hAnsi="Times New Roman"/>
          <w:lang w:val="ru-RU"/>
        </w:rPr>
        <w:t>общего процесса</w:t>
      </w:r>
      <w:r>
        <w:rPr>
          <w:rFonts w:ascii="Times New Roman" w:hAnsi="Times New Roman"/>
          <w:lang w:val="ru-RU"/>
        </w:rPr>
        <w:t xml:space="preserve"> </w:t>
      </w:r>
      <w:r w:rsidRPr="00FB750C">
        <w:rPr>
          <w:rFonts w:ascii="Times New Roman" w:hAnsi="Times New Roman"/>
          <w:szCs w:val="28"/>
          <w:lang w:val="ru-RU"/>
        </w:rPr>
        <w:t>«</w:t>
      </w:r>
      <w:r w:rsidRPr="00FB750C">
        <w:rPr>
          <w:rFonts w:ascii="Times New Roman" w:hAnsi="Times New Roman"/>
          <w:lang w:val="ru-RU"/>
        </w:rPr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</w:t>
      </w:r>
      <w:r>
        <w:rPr>
          <w:rFonts w:ascii="Times New Roman" w:hAnsi="Times New Roman"/>
          <w:lang w:val="ru-RU"/>
        </w:rPr>
        <w:br/>
      </w:r>
      <w:r w:rsidRPr="00FB750C">
        <w:rPr>
          <w:rFonts w:ascii="Times New Roman" w:hAnsi="Times New Roman"/>
          <w:lang w:val="ru-RU"/>
        </w:rPr>
        <w:t xml:space="preserve">в электронном виде международных основ единой Товарной номенклатуры внешнеэкономической деятельности Евразийского </w:t>
      </w:r>
      <w:r w:rsidRPr="00FB750C">
        <w:rPr>
          <w:rFonts w:ascii="Times New Roman" w:hAnsi="Times New Roman"/>
          <w:lang w:val="ru-RU"/>
        </w:rPr>
        <w:lastRenderedPageBreak/>
        <w:t>экономического союза и Единого таможенного тарифа Евразийского экономического союза», утвержденн</w:t>
      </w:r>
      <w:r>
        <w:rPr>
          <w:rFonts w:ascii="Times New Roman" w:hAnsi="Times New Roman"/>
          <w:lang w:val="ru-RU"/>
        </w:rPr>
        <w:t>ом</w:t>
      </w:r>
      <w:r w:rsidRPr="00FB750C">
        <w:rPr>
          <w:rFonts w:ascii="Times New Roman" w:hAnsi="Times New Roman"/>
          <w:lang w:val="ru-RU"/>
        </w:rPr>
        <w:t xml:space="preserve"> </w:t>
      </w:r>
      <w:r w:rsidRPr="00FB750C">
        <w:rPr>
          <w:rFonts w:ascii="Times New Roman" w:hAnsi="Times New Roman"/>
          <w:szCs w:val="28"/>
          <w:lang w:val="ru-RU"/>
        </w:rPr>
        <w:t>Решением Коллегии Евразийской экономической комиссии</w:t>
      </w:r>
      <w:r w:rsidRPr="00FB750C">
        <w:rPr>
          <w:rFonts w:ascii="Times New Roman" w:hAnsi="Times New Roman"/>
          <w:lang w:val="ru-RU"/>
        </w:rPr>
        <w:t xml:space="preserve"> </w:t>
      </w:r>
      <w:r w:rsidR="00027391">
        <w:rPr>
          <w:rFonts w:ascii="Times New Roman" w:hAnsi="Times New Roman"/>
          <w:lang w:val="ru-RU"/>
        </w:rPr>
        <w:br/>
      </w:r>
      <w:r w:rsidRPr="00FB750C">
        <w:rPr>
          <w:rFonts w:ascii="Times New Roman" w:hAnsi="Times New Roman"/>
          <w:lang w:val="ru-RU"/>
        </w:rPr>
        <w:t>от</w:t>
      </w:r>
      <w:r w:rsidRPr="00FB750C">
        <w:rPr>
          <w:rFonts w:ascii="Times New Roman" w:hAnsi="Times New Roman"/>
          <w:szCs w:val="30"/>
          <w:lang w:val="ru-RU"/>
        </w:rPr>
        <w:t xml:space="preserve">                      </w:t>
      </w:r>
      <w:r w:rsidRPr="00FB750C">
        <w:rPr>
          <w:rFonts w:ascii="Times New Roman" w:hAnsi="Times New Roman"/>
          <w:lang w:val="ru-RU"/>
        </w:rPr>
        <w:t xml:space="preserve"> 20     г. №      </w:t>
      </w:r>
      <w:r>
        <w:rPr>
          <w:rFonts w:ascii="Times New Roman" w:hAnsi="Times New Roman"/>
          <w:lang w:val="ru-RU"/>
        </w:rPr>
        <w:t>.</w:t>
      </w:r>
    </w:p>
    <w:p w14:paraId="34B66A19" w14:textId="1D171CB1" w:rsidR="00EA1C0E" w:rsidRDefault="000672BC" w:rsidP="00DC3E71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</w:t>
      </w:r>
      <w:r w:rsidR="00B94062">
        <w:rPr>
          <w:rFonts w:ascii="Times New Roman" w:hAnsi="Times New Roman"/>
          <w:lang w:val="ru-RU"/>
        </w:rPr>
        <w:t>1</w:t>
      </w:r>
      <w:r w:rsidR="003B167E">
        <w:rPr>
          <w:rFonts w:ascii="Times New Roman" w:hAnsi="Times New Roman"/>
          <w:lang w:val="ru-RU"/>
        </w:rPr>
        <w:t>. </w:t>
      </w:r>
      <w:r w:rsidR="00DC3E71" w:rsidRPr="00DC3E71">
        <w:rPr>
          <w:rFonts w:ascii="Times New Roman" w:hAnsi="Times New Roman"/>
          <w:lang w:val="ru-RU"/>
        </w:rPr>
        <w:t xml:space="preserve">После успешного выполнения действий, определенных пунктами 6 – </w:t>
      </w:r>
      <w:r w:rsidR="00C63D06">
        <w:rPr>
          <w:rFonts w:ascii="Times New Roman" w:hAnsi="Times New Roman"/>
          <w:lang w:val="ru-RU"/>
        </w:rPr>
        <w:t>8</w:t>
      </w:r>
      <w:r w:rsidR="00DC3E71" w:rsidRPr="00DC3E71">
        <w:rPr>
          <w:rFonts w:ascii="Times New Roman" w:hAnsi="Times New Roman"/>
          <w:lang w:val="ru-RU"/>
        </w:rPr>
        <w:t xml:space="preserve"> настоящего Порядка, последующее взаимодействие осуществляется в соответствии с технологическими документами, регламентирующими информационное взаимодействие при реализации общего процесса</w:t>
      </w:r>
      <w:r w:rsidR="00CF4CD6">
        <w:rPr>
          <w:rFonts w:ascii="Times New Roman" w:hAnsi="Times New Roman"/>
          <w:lang w:val="ru-RU"/>
        </w:rPr>
        <w:t>.</w:t>
      </w:r>
    </w:p>
    <w:p w14:paraId="55111BAB" w14:textId="77777777" w:rsidR="0025323C" w:rsidRDefault="00B94062" w:rsidP="00DD3B84">
      <w:pPr>
        <w:pStyle w:val="af2"/>
        <w:tabs>
          <w:tab w:val="left" w:pos="1134"/>
        </w:tabs>
        <w:spacing w:before="360" w:after="360" w:line="240" w:lineRule="auto"/>
        <w:ind w:firstLine="0"/>
        <w:jc w:val="center"/>
        <w:outlineLvl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</w:t>
      </w:r>
      <w:r w:rsidR="0025323C">
        <w:rPr>
          <w:rFonts w:ascii="Times New Roman" w:hAnsi="Times New Roman"/>
          <w:lang w:val="ru-RU"/>
        </w:rPr>
        <w:t>.Требования к параметрам передачи</w:t>
      </w:r>
    </w:p>
    <w:p w14:paraId="0C5F601E" w14:textId="77777777" w:rsidR="0025323C" w:rsidRDefault="0075216C" w:rsidP="00DC3E71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</w:t>
      </w:r>
      <w:r w:rsidR="00C61B13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. </w:t>
      </w:r>
      <w:r w:rsidR="0025323C">
        <w:rPr>
          <w:rFonts w:ascii="Times New Roman" w:hAnsi="Times New Roman"/>
          <w:lang w:val="ru-RU"/>
        </w:rPr>
        <w:t>При формировании актуальной версии ТН</w:t>
      </w:r>
      <w:r w:rsidR="004B22AF">
        <w:rPr>
          <w:rFonts w:ascii="Times New Roman" w:hAnsi="Times New Roman"/>
          <w:lang w:val="ru-RU"/>
        </w:rPr>
        <w:t> </w:t>
      </w:r>
      <w:r w:rsidR="0025323C">
        <w:rPr>
          <w:rFonts w:ascii="Times New Roman" w:hAnsi="Times New Roman"/>
          <w:lang w:val="ru-RU"/>
        </w:rPr>
        <w:t>ВЭД</w:t>
      </w:r>
      <w:r w:rsidR="004B22AF">
        <w:rPr>
          <w:rFonts w:ascii="Times New Roman" w:hAnsi="Times New Roman"/>
          <w:lang w:val="ru-RU"/>
        </w:rPr>
        <w:t> </w:t>
      </w:r>
      <w:r w:rsidR="0025323C">
        <w:rPr>
          <w:rFonts w:ascii="Times New Roman" w:hAnsi="Times New Roman"/>
          <w:lang w:val="ru-RU"/>
        </w:rPr>
        <w:t>ЕАЭС</w:t>
      </w:r>
      <w:r w:rsidR="00387A97">
        <w:rPr>
          <w:rFonts w:ascii="Times New Roman" w:hAnsi="Times New Roman"/>
          <w:lang w:val="ru-RU"/>
        </w:rPr>
        <w:t xml:space="preserve"> </w:t>
      </w:r>
      <w:r w:rsidR="00387A97">
        <w:rPr>
          <w:rFonts w:ascii="Times New Roman" w:hAnsi="Times New Roman"/>
          <w:lang w:val="ru-RU"/>
        </w:rPr>
        <w:br/>
        <w:t>и ЕТТ ЕАЭС</w:t>
      </w:r>
      <w:r w:rsidR="0025323C">
        <w:rPr>
          <w:rFonts w:ascii="Times New Roman" w:hAnsi="Times New Roman"/>
          <w:lang w:val="ru-RU"/>
        </w:rPr>
        <w:t xml:space="preserve"> используется кодировка </w:t>
      </w:r>
      <w:r w:rsidR="0025323C">
        <w:rPr>
          <w:rFonts w:ascii="Times New Roman" w:hAnsi="Times New Roman"/>
        </w:rPr>
        <w:t>UTF</w:t>
      </w:r>
      <w:r w:rsidR="0025323C">
        <w:rPr>
          <w:rFonts w:ascii="Times New Roman" w:hAnsi="Times New Roman"/>
          <w:lang w:val="ru-RU"/>
        </w:rPr>
        <w:t>-8.</w:t>
      </w:r>
    </w:p>
    <w:tbl>
      <w:tblPr>
        <w:tblpPr w:leftFromText="180" w:rightFromText="180" w:vertAnchor="text" w:horzAnchor="margin" w:tblpXSpec="center" w:tblpY="6062"/>
        <w:tblW w:w="183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30"/>
      </w:tblGrid>
      <w:tr w:rsidR="00E3529D" w:rsidRPr="00DD3B84" w14:paraId="1A6CBCFE" w14:textId="77777777" w:rsidTr="00E3529D">
        <w:trPr>
          <w:cantSplit/>
          <w:trHeight w:val="241"/>
          <w:tblHeader/>
        </w:trPr>
        <w:tc>
          <w:tcPr>
            <w:tcW w:w="1830" w:type="dxa"/>
            <w:shd w:val="clear" w:color="auto" w:fill="auto"/>
            <w:tcMar>
              <w:top w:w="85" w:type="dxa"/>
              <w:bottom w:w="85" w:type="dxa"/>
            </w:tcMar>
          </w:tcPr>
          <w:p w14:paraId="3C080320" w14:textId="77777777" w:rsidR="00E3529D" w:rsidRPr="00B83F35" w:rsidRDefault="00E3529D" w:rsidP="00E3529D">
            <w:pPr>
              <w:pStyle w:val="a9"/>
              <w:widowControl w:val="0"/>
              <w:spacing w:after="0" w:line="600" w:lineRule="auto"/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</w:tbl>
    <w:p w14:paraId="2B2E96AA" w14:textId="7716B0C1" w:rsidR="00404296" w:rsidRPr="00D13DE8" w:rsidRDefault="0075216C" w:rsidP="00D13DE8">
      <w:pPr>
        <w:pStyle w:val="af2"/>
        <w:tabs>
          <w:tab w:val="left" w:pos="1134"/>
        </w:tabs>
        <w:outlineLvl w:val="2"/>
        <w:rPr>
          <w:lang w:val="ru-RU"/>
        </w:rPr>
      </w:pPr>
      <w:r>
        <w:rPr>
          <w:rFonts w:ascii="Times New Roman" w:hAnsi="Times New Roman"/>
          <w:lang w:val="ru-RU"/>
        </w:rPr>
        <w:t>1</w:t>
      </w:r>
      <w:r w:rsidR="00C61B13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. </w:t>
      </w:r>
      <w:r w:rsidR="00D1759F">
        <w:rPr>
          <w:rFonts w:ascii="Times New Roman" w:hAnsi="Times New Roman"/>
          <w:lang w:val="ru-RU"/>
        </w:rPr>
        <w:t xml:space="preserve">Формирование </w:t>
      </w:r>
      <w:r w:rsidR="00D1759F" w:rsidRPr="00D1759F">
        <w:rPr>
          <w:rFonts w:ascii="Times New Roman" w:hAnsi="Times New Roman"/>
          <w:lang w:val="ru-RU"/>
        </w:rPr>
        <w:t xml:space="preserve">актуальной версии ТН ВЭД ЕАЭС </w:t>
      </w:r>
      <w:r w:rsidR="00D1759F" w:rsidRPr="00D1759F">
        <w:rPr>
          <w:rFonts w:ascii="Times New Roman" w:hAnsi="Times New Roman"/>
          <w:lang w:val="ru-RU"/>
        </w:rPr>
        <w:br/>
        <w:t>и ЕТТ ЕАЭС</w:t>
      </w:r>
      <w:r w:rsidR="00D1759F" w:rsidRPr="00D1759F" w:rsidDel="00D1759F">
        <w:rPr>
          <w:rFonts w:ascii="Times New Roman" w:hAnsi="Times New Roman"/>
          <w:lang w:val="ru-RU"/>
        </w:rPr>
        <w:t xml:space="preserve"> </w:t>
      </w:r>
      <w:r w:rsidR="00D1759F">
        <w:rPr>
          <w:rFonts w:ascii="Times New Roman" w:hAnsi="Times New Roman"/>
          <w:lang w:val="ru-RU"/>
        </w:rPr>
        <w:t>осуществляется на базе архивов</w:t>
      </w:r>
      <w:r w:rsidR="008D2316">
        <w:rPr>
          <w:rFonts w:ascii="Times New Roman" w:hAnsi="Times New Roman"/>
          <w:lang w:val="ru-RU"/>
        </w:rPr>
        <w:t>,</w:t>
      </w:r>
      <w:r w:rsidR="00D1759F">
        <w:rPr>
          <w:rFonts w:ascii="Times New Roman" w:hAnsi="Times New Roman"/>
          <w:lang w:val="ru-RU"/>
        </w:rPr>
        <w:t xml:space="preserve"> </w:t>
      </w:r>
      <w:r w:rsidR="008D2316" w:rsidRPr="008D2316">
        <w:rPr>
          <w:rFonts w:ascii="Times New Roman" w:hAnsi="Times New Roman"/>
          <w:lang w:val="ru-RU"/>
        </w:rPr>
        <w:t xml:space="preserve">существующих </w:t>
      </w:r>
      <w:r w:rsidR="00D1759F">
        <w:rPr>
          <w:rFonts w:ascii="Times New Roman" w:hAnsi="Times New Roman"/>
          <w:lang w:val="ru-RU"/>
        </w:rPr>
        <w:t xml:space="preserve">в формате 4-х </w:t>
      </w:r>
      <w:r w:rsidR="00D1759F" w:rsidRPr="00D1759F">
        <w:rPr>
          <w:rFonts w:ascii="Times New Roman" w:hAnsi="Times New Roman"/>
          <w:lang w:val="ru-RU"/>
        </w:rPr>
        <w:t>XML</w:t>
      </w:r>
      <w:r w:rsidR="00CD624A">
        <w:rPr>
          <w:rFonts w:ascii="Times New Roman" w:hAnsi="Times New Roman"/>
          <w:lang w:val="ru-RU"/>
        </w:rPr>
        <w:t>-</w:t>
      </w:r>
      <w:r w:rsidR="00D1759F" w:rsidRPr="00D1759F">
        <w:rPr>
          <w:rFonts w:ascii="Times New Roman" w:hAnsi="Times New Roman"/>
          <w:lang w:val="ru-RU"/>
        </w:rPr>
        <w:t>документ</w:t>
      </w:r>
      <w:r w:rsidR="00D1759F">
        <w:rPr>
          <w:rFonts w:ascii="Times New Roman" w:hAnsi="Times New Roman"/>
          <w:lang w:val="ru-RU"/>
        </w:rPr>
        <w:t xml:space="preserve">ов, соответствующих </w:t>
      </w:r>
      <w:r w:rsidR="00D1759F" w:rsidRPr="00D1759F">
        <w:rPr>
          <w:rFonts w:ascii="Times New Roman" w:hAnsi="Times New Roman"/>
          <w:lang w:val="ru-RU"/>
        </w:rPr>
        <w:t>формат</w:t>
      </w:r>
      <w:r w:rsidR="00D1759F">
        <w:rPr>
          <w:rFonts w:ascii="Times New Roman" w:hAnsi="Times New Roman"/>
          <w:lang w:val="ru-RU"/>
        </w:rPr>
        <w:t>у</w:t>
      </w:r>
      <w:r w:rsidR="00D1759F" w:rsidRPr="00D1759F">
        <w:rPr>
          <w:rFonts w:ascii="Times New Roman" w:hAnsi="Times New Roman"/>
          <w:lang w:val="ru-RU"/>
        </w:rPr>
        <w:t xml:space="preserve"> и структур</w:t>
      </w:r>
      <w:r w:rsidR="00D1759F">
        <w:rPr>
          <w:rFonts w:ascii="Times New Roman" w:hAnsi="Times New Roman"/>
          <w:lang w:val="ru-RU"/>
        </w:rPr>
        <w:t>е</w:t>
      </w:r>
      <w:r w:rsidR="00D1759F" w:rsidRPr="00D1759F">
        <w:rPr>
          <w:rFonts w:ascii="Times New Roman" w:hAnsi="Times New Roman"/>
          <w:lang w:val="ru-RU"/>
        </w:rPr>
        <w:t xml:space="preserve"> электронных документов «</w:t>
      </w:r>
      <w:r w:rsidR="00D13DE8" w:rsidRPr="00D13DE8">
        <w:rPr>
          <w:rFonts w:ascii="Times New Roman" w:hAnsi="Times New Roman"/>
          <w:lang w:val="ru-RU"/>
        </w:rPr>
        <w:t xml:space="preserve">Сведения из справочника позиций </w:t>
      </w:r>
      <w:r w:rsidR="00FA565D" w:rsidRPr="00D13DE8">
        <w:rPr>
          <w:rFonts w:ascii="Times New Roman" w:hAnsi="Times New Roman"/>
          <w:lang w:val="ru-RU"/>
        </w:rPr>
        <w:t xml:space="preserve">ТН ВЭД ЕАЭС </w:t>
      </w:r>
      <w:r w:rsidR="00D13DE8" w:rsidRPr="00D13DE8">
        <w:rPr>
          <w:rFonts w:ascii="Times New Roman" w:hAnsi="Times New Roman"/>
          <w:lang w:val="ru-RU"/>
        </w:rPr>
        <w:t xml:space="preserve">и ставок ввозных таможенных пошлин </w:t>
      </w:r>
      <w:bookmarkStart w:id="3" w:name="_GoBack"/>
      <w:bookmarkEnd w:id="3"/>
      <w:r w:rsidR="00D13DE8" w:rsidRPr="00D13DE8">
        <w:rPr>
          <w:rFonts w:ascii="Times New Roman" w:hAnsi="Times New Roman"/>
          <w:lang w:val="ru-RU"/>
        </w:rPr>
        <w:t>ЕТТ ЕАЭС</w:t>
      </w:r>
      <w:r w:rsidR="00D1759F" w:rsidRPr="00D1759F">
        <w:rPr>
          <w:rFonts w:ascii="Times New Roman" w:hAnsi="Times New Roman"/>
          <w:lang w:val="ru-RU"/>
        </w:rPr>
        <w:t xml:space="preserve">» (R.CT.GC.01.001), «Сведения из справочника примечаний к ТН ВЭД ЕАЭС» (R.CT.GC.01.003), «Сведения из справочника примечаний </w:t>
      </w:r>
      <w:r w:rsidR="00D13DE8">
        <w:rPr>
          <w:rFonts w:ascii="Times New Roman" w:hAnsi="Times New Roman"/>
          <w:lang w:val="ru-RU"/>
        </w:rPr>
        <w:br/>
      </w:r>
      <w:r w:rsidR="00D1759F" w:rsidRPr="00D1759F">
        <w:rPr>
          <w:rFonts w:ascii="Times New Roman" w:hAnsi="Times New Roman"/>
          <w:lang w:val="ru-RU"/>
        </w:rPr>
        <w:t xml:space="preserve">к разделам и товарным группам ТН ВЭД ЕАЭС» (R.CT.GC.01.004), «Сведения из справочника сведений о соответствии кодов версий </w:t>
      </w:r>
      <w:r w:rsidR="00D13DE8">
        <w:rPr>
          <w:rFonts w:ascii="Times New Roman" w:hAnsi="Times New Roman"/>
          <w:lang w:val="ru-RU"/>
        </w:rPr>
        <w:br/>
      </w:r>
      <w:r w:rsidR="00D1759F" w:rsidRPr="00D1759F">
        <w:rPr>
          <w:rFonts w:ascii="Times New Roman" w:hAnsi="Times New Roman"/>
          <w:lang w:val="ru-RU"/>
        </w:rPr>
        <w:t xml:space="preserve">ТН ВЭД ЕАЭС на уровне товарных позиций, субпозиций и </w:t>
      </w:r>
      <w:proofErr w:type="spellStart"/>
      <w:r w:rsidR="00D1759F" w:rsidRPr="00D1759F">
        <w:rPr>
          <w:rFonts w:ascii="Times New Roman" w:hAnsi="Times New Roman"/>
          <w:lang w:val="ru-RU"/>
        </w:rPr>
        <w:t>подсубпозиций</w:t>
      </w:r>
      <w:proofErr w:type="spellEnd"/>
      <w:r w:rsidR="00D1759F" w:rsidRPr="00D1759F">
        <w:rPr>
          <w:rFonts w:ascii="Times New Roman" w:hAnsi="Times New Roman"/>
          <w:lang w:val="ru-RU"/>
        </w:rPr>
        <w:t>, формируемых с учетом вносимых в нее изменений» (R.CT.GC.01.005)</w:t>
      </w:r>
      <w:r w:rsidR="008D2316">
        <w:rPr>
          <w:rFonts w:ascii="Times New Roman" w:hAnsi="Times New Roman"/>
          <w:lang w:val="ru-RU"/>
        </w:rPr>
        <w:t>.</w:t>
      </w:r>
    </w:p>
    <w:sectPr w:rsidR="00404296" w:rsidRPr="00D13DE8" w:rsidSect="00C457BD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6DA8C" w14:textId="77777777" w:rsidR="00BE5859" w:rsidRDefault="00BE5859" w:rsidP="007B29FD">
      <w:pPr>
        <w:spacing w:after="0" w:line="240" w:lineRule="auto"/>
      </w:pPr>
      <w:r>
        <w:separator/>
      </w:r>
    </w:p>
  </w:endnote>
  <w:endnote w:type="continuationSeparator" w:id="0">
    <w:p w14:paraId="4B01BF0B" w14:textId="77777777" w:rsidR="00BE5859" w:rsidRDefault="00BE5859" w:rsidP="007B29FD">
      <w:pPr>
        <w:spacing w:after="0" w:line="240" w:lineRule="auto"/>
      </w:pPr>
      <w:r>
        <w:continuationSeparator/>
      </w:r>
    </w:p>
  </w:endnote>
  <w:endnote w:type="continuationNotice" w:id="1">
    <w:p w14:paraId="43B8D3EB" w14:textId="77777777" w:rsidR="00BE5859" w:rsidRDefault="00BE5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D77C7" w14:textId="77777777" w:rsidR="00C57AE4" w:rsidRDefault="00C57A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E1D58" w14:textId="77777777" w:rsidR="00BE5859" w:rsidRDefault="00BE5859" w:rsidP="007B29FD">
      <w:pPr>
        <w:spacing w:after="0" w:line="240" w:lineRule="auto"/>
      </w:pPr>
      <w:r>
        <w:separator/>
      </w:r>
    </w:p>
  </w:footnote>
  <w:footnote w:type="continuationSeparator" w:id="0">
    <w:p w14:paraId="6A20ACF8" w14:textId="77777777" w:rsidR="00BE5859" w:rsidRDefault="00BE5859" w:rsidP="007B29FD">
      <w:pPr>
        <w:spacing w:after="0" w:line="240" w:lineRule="auto"/>
      </w:pPr>
      <w:r>
        <w:continuationSeparator/>
      </w:r>
    </w:p>
  </w:footnote>
  <w:footnote w:type="continuationNotice" w:id="1">
    <w:p w14:paraId="32FFFC80" w14:textId="77777777" w:rsidR="00BE5859" w:rsidRDefault="00BE58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189F1" w14:textId="7021AF27" w:rsidR="00C457BD" w:rsidRPr="00C457BD" w:rsidRDefault="00C457BD" w:rsidP="00C457BD">
    <w:pPr>
      <w:pStyle w:val="a3"/>
      <w:spacing w:line="360" w:lineRule="auto"/>
      <w:jc w:val="center"/>
      <w:rPr>
        <w:rFonts w:ascii="Times New Roman" w:hAnsi="Times New Roman"/>
        <w:sz w:val="30"/>
        <w:szCs w:val="30"/>
      </w:rPr>
    </w:pPr>
    <w:r w:rsidRPr="00C457BD">
      <w:rPr>
        <w:rFonts w:ascii="Times New Roman" w:hAnsi="Times New Roman"/>
        <w:sz w:val="30"/>
        <w:szCs w:val="30"/>
      </w:rPr>
      <w:fldChar w:fldCharType="begin"/>
    </w:r>
    <w:r w:rsidRPr="00C457BD">
      <w:rPr>
        <w:rFonts w:ascii="Times New Roman" w:hAnsi="Times New Roman"/>
        <w:sz w:val="30"/>
        <w:szCs w:val="30"/>
      </w:rPr>
      <w:instrText>PAGE   \* MERGEFORMAT</w:instrText>
    </w:r>
    <w:r w:rsidRPr="00C457BD">
      <w:rPr>
        <w:rFonts w:ascii="Times New Roman" w:hAnsi="Times New Roman"/>
        <w:sz w:val="30"/>
        <w:szCs w:val="30"/>
      </w:rPr>
      <w:fldChar w:fldCharType="separate"/>
    </w:r>
    <w:r w:rsidR="00FA565D">
      <w:rPr>
        <w:rFonts w:ascii="Times New Roman" w:hAnsi="Times New Roman"/>
        <w:noProof/>
        <w:sz w:val="30"/>
        <w:szCs w:val="30"/>
      </w:rPr>
      <w:t>8</w:t>
    </w:r>
    <w:r w:rsidRPr="00C457BD">
      <w:rPr>
        <w:rFonts w:ascii="Times New Roman" w:hAnsi="Times New Roman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EB462" w14:textId="77777777" w:rsidR="00C457BD" w:rsidRPr="00C457BD" w:rsidRDefault="00C457BD" w:rsidP="00C457BD">
    <w:pPr>
      <w:pStyle w:val="a3"/>
      <w:spacing w:line="360" w:lineRule="auto"/>
      <w:jc w:val="center"/>
      <w:rPr>
        <w:rFonts w:ascii="Times New Roman" w:hAnsi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C"/>
    <w:rsid w:val="00027391"/>
    <w:rsid w:val="000672BC"/>
    <w:rsid w:val="000A398A"/>
    <w:rsid w:val="000B0EC6"/>
    <w:rsid w:val="000B29B3"/>
    <w:rsid w:val="000C0200"/>
    <w:rsid w:val="000F1538"/>
    <w:rsid w:val="001024CB"/>
    <w:rsid w:val="0010340B"/>
    <w:rsid w:val="00132CD0"/>
    <w:rsid w:val="001B18A9"/>
    <w:rsid w:val="001B2AB1"/>
    <w:rsid w:val="001B73FE"/>
    <w:rsid w:val="001B7B02"/>
    <w:rsid w:val="001C566E"/>
    <w:rsid w:val="001D0620"/>
    <w:rsid w:val="001D7626"/>
    <w:rsid w:val="001F5D55"/>
    <w:rsid w:val="001F727C"/>
    <w:rsid w:val="00240375"/>
    <w:rsid w:val="00250DD3"/>
    <w:rsid w:val="0025323C"/>
    <w:rsid w:val="002764B4"/>
    <w:rsid w:val="002A7062"/>
    <w:rsid w:val="002F5991"/>
    <w:rsid w:val="00302A4A"/>
    <w:rsid w:val="003070FE"/>
    <w:rsid w:val="00317CCD"/>
    <w:rsid w:val="00354E5C"/>
    <w:rsid w:val="00357B51"/>
    <w:rsid w:val="003604E9"/>
    <w:rsid w:val="00387A97"/>
    <w:rsid w:val="003907C6"/>
    <w:rsid w:val="00393309"/>
    <w:rsid w:val="00395FB1"/>
    <w:rsid w:val="003B167E"/>
    <w:rsid w:val="003E5035"/>
    <w:rsid w:val="003F2658"/>
    <w:rsid w:val="003F3735"/>
    <w:rsid w:val="0040205E"/>
    <w:rsid w:val="00404296"/>
    <w:rsid w:val="004078BC"/>
    <w:rsid w:val="00413291"/>
    <w:rsid w:val="00442483"/>
    <w:rsid w:val="004602A3"/>
    <w:rsid w:val="00461020"/>
    <w:rsid w:val="004838E1"/>
    <w:rsid w:val="00485A4C"/>
    <w:rsid w:val="00496249"/>
    <w:rsid w:val="004B22AF"/>
    <w:rsid w:val="004C10B3"/>
    <w:rsid w:val="004D1F83"/>
    <w:rsid w:val="004D7561"/>
    <w:rsid w:val="004E46C6"/>
    <w:rsid w:val="00504939"/>
    <w:rsid w:val="00517396"/>
    <w:rsid w:val="0054672C"/>
    <w:rsid w:val="00550A08"/>
    <w:rsid w:val="00552BB9"/>
    <w:rsid w:val="00556EE6"/>
    <w:rsid w:val="00570BFE"/>
    <w:rsid w:val="005844FA"/>
    <w:rsid w:val="005B6737"/>
    <w:rsid w:val="005C515D"/>
    <w:rsid w:val="005E0A2B"/>
    <w:rsid w:val="00632B8F"/>
    <w:rsid w:val="00632CAF"/>
    <w:rsid w:val="0064182F"/>
    <w:rsid w:val="00646A7F"/>
    <w:rsid w:val="006509D2"/>
    <w:rsid w:val="006569E2"/>
    <w:rsid w:val="00693887"/>
    <w:rsid w:val="006B513E"/>
    <w:rsid w:val="006E2F06"/>
    <w:rsid w:val="0070700A"/>
    <w:rsid w:val="00715DF7"/>
    <w:rsid w:val="007344E6"/>
    <w:rsid w:val="007421DA"/>
    <w:rsid w:val="0075216C"/>
    <w:rsid w:val="007575F7"/>
    <w:rsid w:val="00776FEA"/>
    <w:rsid w:val="007802B4"/>
    <w:rsid w:val="007A7D16"/>
    <w:rsid w:val="007B29FD"/>
    <w:rsid w:val="007C02D9"/>
    <w:rsid w:val="007E0F15"/>
    <w:rsid w:val="007F50D9"/>
    <w:rsid w:val="00811C52"/>
    <w:rsid w:val="00830B25"/>
    <w:rsid w:val="00843E3F"/>
    <w:rsid w:val="0084512F"/>
    <w:rsid w:val="00856065"/>
    <w:rsid w:val="008632E4"/>
    <w:rsid w:val="008C0F3C"/>
    <w:rsid w:val="008D2316"/>
    <w:rsid w:val="008F3874"/>
    <w:rsid w:val="008F75FB"/>
    <w:rsid w:val="00900621"/>
    <w:rsid w:val="00913EFF"/>
    <w:rsid w:val="00961578"/>
    <w:rsid w:val="00995D75"/>
    <w:rsid w:val="009C1534"/>
    <w:rsid w:val="009E3457"/>
    <w:rsid w:val="009F1F3F"/>
    <w:rsid w:val="00A00424"/>
    <w:rsid w:val="00A01433"/>
    <w:rsid w:val="00A07E25"/>
    <w:rsid w:val="00A10B11"/>
    <w:rsid w:val="00A17A7C"/>
    <w:rsid w:val="00A21F06"/>
    <w:rsid w:val="00A40EE1"/>
    <w:rsid w:val="00A652F9"/>
    <w:rsid w:val="00AA47B3"/>
    <w:rsid w:val="00AA54ED"/>
    <w:rsid w:val="00AB4A07"/>
    <w:rsid w:val="00AE78CF"/>
    <w:rsid w:val="00AF66B7"/>
    <w:rsid w:val="00B07EFC"/>
    <w:rsid w:val="00B26D82"/>
    <w:rsid w:val="00B3021B"/>
    <w:rsid w:val="00B34C00"/>
    <w:rsid w:val="00B50FC0"/>
    <w:rsid w:val="00B55271"/>
    <w:rsid w:val="00B62A1C"/>
    <w:rsid w:val="00B7237E"/>
    <w:rsid w:val="00B82651"/>
    <w:rsid w:val="00B83F35"/>
    <w:rsid w:val="00B94062"/>
    <w:rsid w:val="00BA3A32"/>
    <w:rsid w:val="00BB128E"/>
    <w:rsid w:val="00BC7C77"/>
    <w:rsid w:val="00BD384E"/>
    <w:rsid w:val="00BE3022"/>
    <w:rsid w:val="00BE5859"/>
    <w:rsid w:val="00BE60BE"/>
    <w:rsid w:val="00C317A9"/>
    <w:rsid w:val="00C37FCF"/>
    <w:rsid w:val="00C457BD"/>
    <w:rsid w:val="00C57AE4"/>
    <w:rsid w:val="00C61B13"/>
    <w:rsid w:val="00C63D06"/>
    <w:rsid w:val="00C853C5"/>
    <w:rsid w:val="00C87E70"/>
    <w:rsid w:val="00C96B6A"/>
    <w:rsid w:val="00CB0A22"/>
    <w:rsid w:val="00CD624A"/>
    <w:rsid w:val="00CE0BD7"/>
    <w:rsid w:val="00CF327B"/>
    <w:rsid w:val="00CF4CD6"/>
    <w:rsid w:val="00D117D9"/>
    <w:rsid w:val="00D13DE8"/>
    <w:rsid w:val="00D1759F"/>
    <w:rsid w:val="00D41F08"/>
    <w:rsid w:val="00D71CEB"/>
    <w:rsid w:val="00DA3C62"/>
    <w:rsid w:val="00DB66C6"/>
    <w:rsid w:val="00DC3E71"/>
    <w:rsid w:val="00DD0DAB"/>
    <w:rsid w:val="00DD16FE"/>
    <w:rsid w:val="00DD3B84"/>
    <w:rsid w:val="00DD3EDD"/>
    <w:rsid w:val="00DE2890"/>
    <w:rsid w:val="00DE29EC"/>
    <w:rsid w:val="00DE74D7"/>
    <w:rsid w:val="00E04883"/>
    <w:rsid w:val="00E208F3"/>
    <w:rsid w:val="00E27E89"/>
    <w:rsid w:val="00E3529D"/>
    <w:rsid w:val="00E3657D"/>
    <w:rsid w:val="00E45971"/>
    <w:rsid w:val="00E52030"/>
    <w:rsid w:val="00E61B5A"/>
    <w:rsid w:val="00E73856"/>
    <w:rsid w:val="00E74C94"/>
    <w:rsid w:val="00EA1C0E"/>
    <w:rsid w:val="00EA4DE6"/>
    <w:rsid w:val="00EB724D"/>
    <w:rsid w:val="00EC4F77"/>
    <w:rsid w:val="00ED21D6"/>
    <w:rsid w:val="00EE48E6"/>
    <w:rsid w:val="00EE58F0"/>
    <w:rsid w:val="00EF305C"/>
    <w:rsid w:val="00F03A3C"/>
    <w:rsid w:val="00F07B57"/>
    <w:rsid w:val="00F201C3"/>
    <w:rsid w:val="00F2272D"/>
    <w:rsid w:val="00F50820"/>
    <w:rsid w:val="00F554D3"/>
    <w:rsid w:val="00F61567"/>
    <w:rsid w:val="00FA2708"/>
    <w:rsid w:val="00FA565D"/>
    <w:rsid w:val="00FB774C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C3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/>
      <w:contextualSpacing/>
      <w:jc w:val="center"/>
      <w:outlineLvl w:val="0"/>
    </w:pPr>
    <w:rPr>
      <w:rFonts w:ascii="Times New Roman" w:eastAsia="Times New Roman" w:hAnsi="Times New Roman"/>
      <w:sz w:val="30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="Calibri Light" w:eastAsia="Times New Roman" w:hAnsi="Calibri Light"/>
      <w:color w:val="1F4D78"/>
      <w:sz w:val="22"/>
      <w:szCs w:val="22"/>
      <w:lang w:eastAsia="en-US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link w:val="1"/>
    <w:uiPriority w:val="9"/>
    <w:rsid w:val="007B29FD"/>
    <w:rPr>
      <w:rFonts w:ascii="Times New Roman" w:eastAsia="Times New Roman" w:hAnsi="Times New Roman" w:cs="Times New Roman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/>
      <w:contextualSpacing/>
      <w:jc w:val="center"/>
    </w:pPr>
    <w:rPr>
      <w:rFonts w:ascii="Times New Roman" w:eastAsia="Times New Roman" w:hAnsi="Times New Roman"/>
      <w:b/>
      <w:sz w:val="30"/>
      <w:szCs w:val="28"/>
      <w:lang w:eastAsia="en-US"/>
    </w:rPr>
  </w:style>
  <w:style w:type="paragraph" w:customStyle="1" w:styleId="a8">
    <w:name w:val="Вид документа"/>
    <w:qFormat/>
    <w:rsid w:val="007B29FD"/>
    <w:pPr>
      <w:spacing w:before="480"/>
      <w:jc w:val="center"/>
    </w:pPr>
    <w:rPr>
      <w:rFonts w:ascii="Times New Roman Полужирный" w:eastAsia="Times New Roman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a9">
    <w:name w:val="Обычный с красной строки"/>
    <w:basedOn w:val="a"/>
    <w:link w:val="aa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a">
    <w:name w:val="Обычный с красной строки Знак"/>
    <w:link w:val="a9"/>
    <w:rsid w:val="007B29FD"/>
    <w:rPr>
      <w:rFonts w:ascii="Times New Roman" w:hAnsi="Times New Roman"/>
      <w:sz w:val="30"/>
    </w:rPr>
  </w:style>
  <w:style w:type="paragraph" w:customStyle="1" w:styleId="ab">
    <w:name w:val="Обычный с номером"/>
    <w:basedOn w:val="a9"/>
    <w:link w:val="ac"/>
    <w:qFormat/>
    <w:rsid w:val="007B29FD"/>
    <w:pPr>
      <w:outlineLvl w:val="2"/>
    </w:pPr>
    <w:rPr>
      <w:noProof/>
    </w:rPr>
  </w:style>
  <w:style w:type="character" w:customStyle="1" w:styleId="ac">
    <w:name w:val="Обычный с номером Знак"/>
    <w:link w:val="ab"/>
    <w:rsid w:val="007B29FD"/>
    <w:rPr>
      <w:rFonts w:ascii="Times New Roman" w:hAnsi="Times New Roman"/>
      <w:noProof/>
      <w:sz w:val="30"/>
    </w:rPr>
  </w:style>
  <w:style w:type="table" w:styleId="ad">
    <w:name w:val="Table Grid"/>
    <w:basedOn w:val="a1"/>
    <w:uiPriority w:val="59"/>
    <w:rsid w:val="003070FE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e">
    <w:name w:val="_Основной с красной строки"/>
    <w:basedOn w:val="a"/>
    <w:link w:val="af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</w:rPr>
  </w:style>
  <w:style w:type="character" w:customStyle="1" w:styleId="af">
    <w:name w:val="_Основной с красной строки Знак"/>
    <w:link w:val="ae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link w:val="2"/>
    <w:uiPriority w:val="9"/>
    <w:semiHidden/>
    <w:rsid w:val="00FA2708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af0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link w:val="3"/>
    <w:uiPriority w:val="9"/>
    <w:semiHidden/>
    <w:rsid w:val="00FA2708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customStyle="1" w:styleId="af2">
    <w:name w:val="ПВД_Обычный с номером"/>
    <w:basedOn w:val="a"/>
    <w:qFormat/>
    <w:rsid w:val="00EA1C0E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FB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B774C"/>
    <w:rPr>
      <w:rFonts w:ascii="Segoe UI" w:hAnsi="Segoe UI" w:cs="Segoe UI"/>
      <w:sz w:val="18"/>
      <w:szCs w:val="18"/>
    </w:rPr>
  </w:style>
  <w:style w:type="character" w:styleId="af5">
    <w:name w:val="annotation reference"/>
    <w:uiPriority w:val="99"/>
    <w:semiHidden/>
    <w:unhideWhenUsed/>
    <w:rsid w:val="00E208F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208F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E208F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208F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E20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16AB-A175-46A8-A8D9-CF1318F6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2023-02-10T09:53:00Z</dcterms:created>
  <dcterms:modified xsi:type="dcterms:W3CDTF">2023-02-10T10:07:00Z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0.2.1</vt:lpwstr>
  </property>
</Properties>
</file>