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9D08F" w14:textId="77777777" w:rsidR="00BA2F75" w:rsidRPr="009736E1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7"/>
          <w:szCs w:val="27"/>
        </w:rPr>
      </w:pPr>
    </w:p>
    <w:p w14:paraId="7B52C32E" w14:textId="77777777" w:rsidR="00BA2F75" w:rsidRPr="00FF2EA6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b/>
          <w:bCs/>
          <w:sz w:val="27"/>
          <w:szCs w:val="27"/>
          <w:u w:val="single"/>
        </w:rPr>
      </w:pPr>
      <w:r w:rsidRPr="00FF2EA6">
        <w:rPr>
          <w:rFonts w:asciiTheme="majorBidi" w:hAnsiTheme="majorBidi" w:cstheme="majorBidi"/>
          <w:b/>
          <w:bCs/>
          <w:sz w:val="27"/>
          <w:szCs w:val="27"/>
          <w:u w:val="single"/>
        </w:rPr>
        <w:t>Позиция ОЮЛ «Союза химиков Республики Казахстан».</w:t>
      </w:r>
    </w:p>
    <w:p w14:paraId="3116B59F" w14:textId="77777777" w:rsidR="00BA2F75" w:rsidRPr="009736E1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7"/>
          <w:szCs w:val="27"/>
        </w:rPr>
      </w:pPr>
      <w:r w:rsidRPr="009736E1">
        <w:rPr>
          <w:rFonts w:asciiTheme="majorBidi" w:hAnsiTheme="majorBidi" w:cstheme="majorBidi"/>
          <w:sz w:val="27"/>
          <w:szCs w:val="27"/>
        </w:rPr>
        <w:t>Предлагаем изложить пункт 4 проекта Правил реализации общего процесса «Формирование и ведение единого реестра разрешенных к обращению на рынке Евразийского экономического союза минеральных удобрений» в следующей редакции:</w:t>
      </w:r>
    </w:p>
    <w:p w14:paraId="4F425C9E" w14:textId="77777777" w:rsidR="00BA2F75" w:rsidRPr="007C5B41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9736E1">
        <w:rPr>
          <w:rFonts w:asciiTheme="majorBidi" w:hAnsiTheme="majorBidi" w:cstheme="majorBidi"/>
          <w:sz w:val="27"/>
          <w:szCs w:val="27"/>
        </w:rPr>
        <w:t>«</w:t>
      </w:r>
      <w:r w:rsidRPr="007C5B41">
        <w:rPr>
          <w:rFonts w:asciiTheme="majorBidi" w:hAnsiTheme="majorBidi" w:cstheme="majorBidi"/>
          <w:b/>
          <w:bCs/>
          <w:sz w:val="28"/>
          <w:szCs w:val="28"/>
        </w:rPr>
        <w:t>4. Целью реализации общего процесса является обеспечение информационного взаимодействия уполномоченных органов государств – членов Евразийского экономического союза и Евразийской экономической комиссии при формировании и ведении единого реестра разрешенных к обращению на рынке Евразийского экономического союза минеральных удобрений, а также обеспечение предоставления сведений, содержащихся в едином реестре, в соответствии с установленным порядком доступа.</w:t>
      </w:r>
      <w:r w:rsidRPr="009736E1">
        <w:rPr>
          <w:rFonts w:asciiTheme="majorBidi" w:hAnsiTheme="majorBidi" w:cstheme="majorBidi"/>
          <w:sz w:val="27"/>
          <w:szCs w:val="27"/>
        </w:rPr>
        <w:t>»</w:t>
      </w:r>
    </w:p>
    <w:p w14:paraId="3FE7FAA8" w14:textId="77777777" w:rsidR="00BA2F75" w:rsidRPr="00FF2EA6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7"/>
          <w:szCs w:val="27"/>
          <w:u w:val="single"/>
        </w:rPr>
      </w:pPr>
      <w:r w:rsidRPr="00FF2EA6">
        <w:rPr>
          <w:rFonts w:asciiTheme="majorBidi" w:hAnsiTheme="majorBidi" w:cstheme="majorBidi"/>
          <w:sz w:val="27"/>
          <w:szCs w:val="27"/>
          <w:u w:val="single"/>
        </w:rPr>
        <w:t>Обоснование.</w:t>
      </w:r>
    </w:p>
    <w:p w14:paraId="4187D007" w14:textId="77777777" w:rsidR="00BA2F75" w:rsidRPr="009736E1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7"/>
          <w:szCs w:val="27"/>
        </w:rPr>
      </w:pPr>
      <w:r w:rsidRPr="009736E1">
        <w:rPr>
          <w:rFonts w:asciiTheme="majorBidi" w:hAnsiTheme="majorBidi" w:cstheme="majorBidi"/>
          <w:sz w:val="27"/>
          <w:szCs w:val="27"/>
        </w:rPr>
        <w:t>В соответствии с пунктом 33 Порядка регистрации минеральных удобрений, формирования и ведения единого реестра разрешенных к обращению на рынке Евразийского экономического союза минеральных удобрений, утвержденного Решением Совета Евразийской экономической комиссии от 1 октября 2024 г. № 78, единый реестр состоит из национальных частей, формирование и ведение которых осуществляются уполномоченными органами в ходе регистрации минеральных удобрений на основе информационного взаимодействия уполномоченных органов между собой, уполномоченных органов и Евразийской экономической комиссии с использованием интегрированной информационной системы Союза при реализации общих процессов в рамках Союза.</w:t>
      </w:r>
    </w:p>
    <w:p w14:paraId="124483F2" w14:textId="77777777" w:rsidR="00BA2F75" w:rsidRPr="009736E1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7"/>
          <w:szCs w:val="27"/>
        </w:rPr>
      </w:pPr>
      <w:r w:rsidRPr="009736E1">
        <w:rPr>
          <w:rFonts w:asciiTheme="majorBidi" w:hAnsiTheme="majorBidi" w:cstheme="majorBidi"/>
          <w:sz w:val="27"/>
          <w:szCs w:val="27"/>
        </w:rPr>
        <w:t>Таким образом, реализация общего процесса направлена на обеспечение информационного взаимодействия при формировании и ведении единого реестра и не заменяет процедуры регистрации минеральных удобрений, принятия решений о допуске продукции к обращению либо осуществления государственного контроля.</w:t>
      </w:r>
    </w:p>
    <w:p w14:paraId="6986A7DD" w14:textId="77777777" w:rsidR="00BA2F75" w:rsidRPr="009736E1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7"/>
          <w:szCs w:val="27"/>
        </w:rPr>
      </w:pPr>
      <w:r w:rsidRPr="009736E1">
        <w:rPr>
          <w:rFonts w:asciiTheme="majorBidi" w:hAnsiTheme="majorBidi" w:cstheme="majorBidi"/>
          <w:sz w:val="27"/>
          <w:szCs w:val="27"/>
        </w:rPr>
        <w:t>Формулировка о «предотвращении выпуска в обращение и использования минеральных удобрений, не соответствующих установленным требованиям» относится к целям регистрации и регулирования обращения продукции, не относится к задачам реализации общего процесса и, следовательно, выходит за пределы предмета регулирования проекта Правил.</w:t>
      </w:r>
    </w:p>
    <w:p w14:paraId="6DE2B807" w14:textId="77777777" w:rsidR="00BA2F75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14:paraId="2DBAD037" w14:textId="77777777" w:rsidR="00BA2F75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14:paraId="72D2A891" w14:textId="77777777" w:rsidR="00BA2F75" w:rsidRDefault="00BA2F75" w:rsidP="00BA2F75">
      <w:pPr>
        <w:spacing w:after="0" w:line="240" w:lineRule="auto"/>
        <w:ind w:firstLine="709"/>
        <w:contextualSpacing/>
        <w:jc w:val="both"/>
        <w:rPr>
          <w:rFonts w:asciiTheme="majorBidi" w:hAnsiTheme="majorBidi" w:cstheme="majorBidi"/>
          <w:sz w:val="28"/>
          <w:szCs w:val="28"/>
        </w:rPr>
      </w:pPr>
    </w:p>
    <w:p w14:paraId="5F8B78F4" w14:textId="77777777" w:rsidR="00AE7795" w:rsidRDefault="00AE7795"/>
    <w:sectPr w:rsidR="00AE7795" w:rsidSect="00BA2F7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F75"/>
    <w:rsid w:val="00100D1A"/>
    <w:rsid w:val="001D2123"/>
    <w:rsid w:val="00993D53"/>
    <w:rsid w:val="009F6D0B"/>
    <w:rsid w:val="00AE7795"/>
    <w:rsid w:val="00BA2F75"/>
    <w:rsid w:val="00F64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15E6C"/>
  <w15:chartTrackingRefBased/>
  <w15:docId w15:val="{ECF89ECD-A2E9-42C2-BC38-28D033100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2F75"/>
  </w:style>
  <w:style w:type="paragraph" w:styleId="1">
    <w:name w:val="heading 1"/>
    <w:basedOn w:val="a"/>
    <w:next w:val="a"/>
    <w:link w:val="10"/>
    <w:uiPriority w:val="9"/>
    <w:qFormat/>
    <w:rsid w:val="00BA2F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F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2F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F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2F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2F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2F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2F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2F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F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A2F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A2F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A2F7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A2F7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A2F7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A2F7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A2F7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A2F7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A2F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A2F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2F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A2F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A2F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A2F7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A2F7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A2F7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A2F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A2F7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A2F7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Лоренц Ирина</dc:creator>
  <cp:keywords/>
  <dc:description/>
  <cp:lastModifiedBy>Лоренц Ирина</cp:lastModifiedBy>
  <cp:revision>1</cp:revision>
  <dcterms:created xsi:type="dcterms:W3CDTF">2026-08-12T12:25:00Z</dcterms:created>
  <dcterms:modified xsi:type="dcterms:W3CDTF">2026-08-12T12:25:00Z</dcterms:modified>
</cp:coreProperties>
</file>