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40118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 в Решение Совета Евразийской экономической комиссии от 3 ноября 2016 г. № 83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40118E">
              <w:rPr>
                <w:sz w:val="25"/>
                <w:szCs w:val="25"/>
                <w:lang w:eastAsia="x-none"/>
              </w:rPr>
              <w:t>17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40118E">
              <w:rPr>
                <w:sz w:val="25"/>
                <w:szCs w:val="25"/>
                <w:lang w:eastAsia="x-none"/>
              </w:rPr>
              <w:t>мая 2024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40118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0118E">
              <w:rPr>
                <w:spacing w:val="-4"/>
                <w:kern w:val="25"/>
                <w:sz w:val="25"/>
                <w:szCs w:val="25"/>
                <w:lang w:eastAsia="x-none"/>
              </w:rPr>
              <w:t>16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0118E">
              <w:rPr>
                <w:spacing w:val="-4"/>
                <w:kern w:val="25"/>
                <w:sz w:val="25"/>
                <w:szCs w:val="25"/>
                <w:lang w:eastAsia="x-none"/>
              </w:rPr>
              <w:t>июня 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457DE7">
              <w:rPr>
                <w:sz w:val="25"/>
                <w:szCs w:val="25"/>
                <w:u w:val="single"/>
              </w:rPr>
              <w:t>Николаева Т.А.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457DE7" w:rsidRPr="00457DE7">
              <w:rPr>
                <w:sz w:val="25"/>
                <w:szCs w:val="25"/>
                <w:u w:val="single"/>
              </w:rPr>
              <w:t>заместитель д</w:t>
            </w:r>
            <w:r w:rsidR="009F644C" w:rsidRPr="00457DE7">
              <w:rPr>
                <w:sz w:val="25"/>
                <w:szCs w:val="25"/>
                <w:u w:val="single"/>
              </w:rPr>
              <w:t>иректор</w:t>
            </w:r>
            <w:r w:rsidR="00457DE7" w:rsidRPr="00457DE7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</w:t>
            </w:r>
            <w:bookmarkStart w:id="0" w:name="_GoBack"/>
            <w:r w:rsidR="009F644C" w:rsidRPr="00BD07C4">
              <w:rPr>
                <w:sz w:val="26"/>
                <w:szCs w:val="26"/>
                <w:u w:val="single"/>
              </w:rPr>
              <w:t>)</w:t>
            </w:r>
            <w:bookmarkEnd w:id="0"/>
            <w:r w:rsidR="009F644C" w:rsidRPr="00BD07C4">
              <w:rPr>
                <w:sz w:val="26"/>
                <w:szCs w:val="26"/>
                <w:u w:val="single"/>
              </w:rPr>
              <w:t>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65" w:rsidRDefault="00AA7865" w:rsidP="005029A2">
      <w:pPr>
        <w:spacing w:after="0" w:line="240" w:lineRule="auto"/>
      </w:pPr>
      <w:r>
        <w:separator/>
      </w:r>
    </w:p>
  </w:endnote>
  <w:endnote w:type="continuationSeparator" w:id="0">
    <w:p w:rsidR="00AA7865" w:rsidRDefault="00AA786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65" w:rsidRDefault="00AA7865" w:rsidP="005029A2">
      <w:pPr>
        <w:spacing w:after="0" w:line="240" w:lineRule="auto"/>
      </w:pPr>
      <w:r>
        <w:separator/>
      </w:r>
    </w:p>
  </w:footnote>
  <w:footnote w:type="continuationSeparator" w:id="0">
    <w:p w:rsidR="00AA7865" w:rsidRDefault="00AA786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57DE7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18E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57DE7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3B67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1B9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D7FFE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A7865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293A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2F98E-203F-425F-85D6-9B37BA0D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5</cp:revision>
  <cp:lastPrinted>2017-05-12T12:55:00Z</cp:lastPrinted>
  <dcterms:created xsi:type="dcterms:W3CDTF">2023-11-01T11:45:00Z</dcterms:created>
  <dcterms:modified xsi:type="dcterms:W3CDTF">2024-05-14T06:15:00Z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