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EAD4" w14:textId="77777777"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43A87852" w14:textId="77777777"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1CA932" w14:textId="77777777"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14:paraId="3393C0FA" w14:textId="77777777"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5EFA2E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14:paraId="44B09BDD" w14:textId="77777777"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14:paraId="46584F5E" w14:textId="77777777"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44E99A12" w14:textId="77777777"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14:paraId="63D2F4CD" w14:textId="77777777" w:rsidTr="00516908">
        <w:tc>
          <w:tcPr>
            <w:tcW w:w="3578" w:type="dxa"/>
          </w:tcPr>
          <w:p w14:paraId="50C884F9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37A21588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6020CA69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65020D56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14:paraId="1AC68B5D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4DDD3092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399D3D50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6045EB98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756C15A2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4E86EBE0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2913CC50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7791EE07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346581FF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3538EC6D" w14:textId="77777777" w:rsidR="00BC5842" w:rsidRPr="00036C06" w:rsidRDefault="000E3EE2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0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2F064932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x-none" w:eastAsia="x-none"/>
        </w:rPr>
      </w:pPr>
    </w:p>
    <w:p w14:paraId="1F32CC26" w14:textId="77777777"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7ACE7E21" w14:textId="77777777"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14:paraId="7508D97D" w14:textId="77777777" w:rsidTr="00E61611">
        <w:tc>
          <w:tcPr>
            <w:tcW w:w="4385" w:type="dxa"/>
          </w:tcPr>
          <w:p w14:paraId="5EC9BE42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Наименование юридического лица либо фамилия, имя, отчество физического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7C94D6FE" w14:textId="4FEDDE81" w:rsidR="00BC5842" w:rsidRPr="00F24D5D" w:rsidRDefault="00F24D5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ТОО </w:t>
            </w:r>
            <w:r w:rsid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Тенгизшевройл</w:t>
            </w:r>
            <w:r w:rsid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»</w:t>
            </w:r>
          </w:p>
        </w:tc>
      </w:tr>
      <w:tr w:rsidR="001014D0" w:rsidRPr="001014D0" w14:paraId="28985585" w14:textId="77777777" w:rsidTr="00E61611">
        <w:tc>
          <w:tcPr>
            <w:tcW w:w="4385" w:type="dxa"/>
          </w:tcPr>
          <w:p w14:paraId="6F8C7D21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7BA94A67" w14:textId="61CF8000" w:rsidR="00BC5842" w:rsidRPr="00F24D5D" w:rsidRDefault="00F24D5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x-none"/>
              </w:rPr>
            </w:pP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Нефтегазовая отрасль</w:t>
            </w:r>
          </w:p>
        </w:tc>
      </w:tr>
      <w:tr w:rsidR="001014D0" w:rsidRPr="001014D0" w14:paraId="74BEC049" w14:textId="77777777" w:rsidTr="00E61611">
        <w:tc>
          <w:tcPr>
            <w:tcW w:w="4385" w:type="dxa"/>
          </w:tcPr>
          <w:p w14:paraId="77158BC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10A067E7" w14:textId="79323511" w:rsidR="00BC5842" w:rsidRPr="00BB7D00" w:rsidRDefault="00BB7D0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Нигмеджанов Аслан Максимович</w:t>
            </w:r>
          </w:p>
        </w:tc>
      </w:tr>
      <w:tr w:rsidR="001014D0" w:rsidRPr="001014D0" w14:paraId="4FDADBDB" w14:textId="77777777" w:rsidTr="00E61611">
        <w:tc>
          <w:tcPr>
            <w:tcW w:w="4385" w:type="dxa"/>
          </w:tcPr>
          <w:p w14:paraId="54E3B9A3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3F558BA4" w14:textId="754FAD35" w:rsidR="00BC5842" w:rsidRPr="00BB7D00" w:rsidRDefault="00BB7D0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701 0718060</w:t>
            </w:r>
          </w:p>
        </w:tc>
      </w:tr>
      <w:tr w:rsidR="001014D0" w:rsidRPr="001014D0" w14:paraId="757734E0" w14:textId="77777777" w:rsidTr="00E61611">
        <w:tc>
          <w:tcPr>
            <w:tcW w:w="4385" w:type="dxa"/>
            <w:tcBorders>
              <w:bottom w:val="single" w:sz="4" w:space="0" w:color="auto"/>
            </w:tcBorders>
          </w:tcPr>
          <w:p w14:paraId="1A31532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14EC20C" w14:textId="4DCCAB99" w:rsidR="00BC5842" w:rsidRPr="00BB7D00" w:rsidRDefault="00BB7D0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bygq@tengizchevroil.com</w:t>
            </w:r>
          </w:p>
        </w:tc>
      </w:tr>
      <w:tr w:rsidR="001014D0" w:rsidRPr="001014D0" w14:paraId="6C1C85AF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47294" w14:textId="77777777"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1014D0" w:rsidRPr="001014D0" w14:paraId="7367E937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7666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14:paraId="40169C6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CBBA" w14:textId="519448B3" w:rsidR="00BC5842" w:rsidRPr="00F267B2" w:rsidRDefault="00F267B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Принятие проекта не решает существующую проблему в РК обращения химических веществ. Проблема не определена точно.</w:t>
            </w:r>
          </w:p>
        </w:tc>
      </w:tr>
      <w:tr w:rsidR="001014D0" w:rsidRPr="001014D0" w14:paraId="65BF07B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E7D1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1014D0" w14:paraId="079EFCBF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68DE" w14:textId="3F3B8954" w:rsidR="00BC5842" w:rsidRPr="00F267B2" w:rsidRDefault="00F267B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Принятие проекта решает проблему не в полной мере. </w:t>
            </w:r>
            <w:r w:rsidR="00453BC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Для принятия проекта необходимо, в первую очередь подготовить техническую базу во всех странах участниц ЕАЭС.</w:t>
            </w:r>
            <w:r w:rsidR="00CC0AA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14:paraId="79B5A78B" w14:textId="77777777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D4AB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1014D0" w14:paraId="3E8A622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706A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208012A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7597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1014D0" w:rsidRPr="001014D0" w14:paraId="6B1C282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45C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2E2FF3ED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433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5.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1299B7E1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1014D0" w:rsidRPr="001014D0" w14:paraId="20C59B0D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A5FD" w14:textId="606CB7DA" w:rsidR="00BC5842" w:rsidRPr="007C1AA7" w:rsidRDefault="007C1AA7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7C1AA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 xml:space="preserve">Рассматриваемый вариант проекта не является наиболее оптимальным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неблагоприятно</w:t>
            </w:r>
            <w:r w:rsidRPr="007C1AA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влияет на условия ведения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стратегически важных объектов (потребителей, импортеров)</w:t>
            </w:r>
            <w:r w:rsidRPr="007C1AA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(требует большего количества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дополнительных </w:t>
            </w:r>
            <w:r w:rsidRPr="007C1AA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и времени из-за отсутствия инструментально-технической базы сторон</w:t>
            </w:r>
            <w:r w:rsidR="006A7D6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что может привести к коррупционным рискам</w:t>
            </w:r>
            <w:r w:rsidRPr="007C1AA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14:paraId="626962A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07C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6.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1014D0" w14:paraId="232C9E2A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9E9" w14:textId="5686356D" w:rsidR="00BC5842" w:rsidRPr="006A7D6E" w:rsidRDefault="006A7D6E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6A7D6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Негативное влияние на условия ведения деятельности оказывают: в части идентификации веществ (100%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6A7D6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определение состава вещества)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 положение о нотификации.</w:t>
            </w:r>
          </w:p>
        </w:tc>
      </w:tr>
      <w:tr w:rsidR="001014D0" w:rsidRPr="001014D0" w14:paraId="38BE14ED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881B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1014D0" w:rsidRPr="001014D0" w14:paraId="793609FA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ACE0" w14:textId="43789A23" w:rsidR="00BC5842" w:rsidRPr="00941172" w:rsidRDefault="0094117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94117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 в полном объеме.</w:t>
            </w:r>
          </w:p>
        </w:tc>
      </w:tr>
      <w:tr w:rsidR="001014D0" w:rsidRPr="001014D0" w14:paraId="41867F45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BEB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8.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1014D0" w:rsidRPr="001014D0" w14:paraId="64D648E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F85" w14:textId="0C14D3F4" w:rsidR="00BC5842" w:rsidRPr="00941172" w:rsidRDefault="0094117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94117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Да, переходный период необходим. До введения в силу проекта решения необходимо подготовить квалифицированный персонал, инструментально-техническую базу.</w:t>
            </w:r>
          </w:p>
        </w:tc>
      </w:tr>
      <w:tr w:rsidR="001014D0" w:rsidRPr="001014D0" w14:paraId="2629AE9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D316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42094C" w:rsidRPr="001014D0" w14:paraId="4477BD4B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3DB2" w14:textId="133503D4" w:rsidR="0042094C" w:rsidRPr="0042094C" w:rsidRDefault="0042094C" w:rsidP="00420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Считаем, что документами второго уровня не предусмотрены исключения в случаях с конфиденциальной информацией по составу, отсутствуют инструменты получения информации на государственном уровне. </w:t>
            </w:r>
          </w:p>
        </w:tc>
      </w:tr>
    </w:tbl>
    <w:p w14:paraId="281A8D4D" w14:textId="77777777"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582511D7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54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1014D0" w:rsidRPr="001014D0" w14:paraId="70DF6BFE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212A5A85" w14:textId="5888E642" w:rsidR="00BC5842" w:rsidRPr="00941172" w:rsidRDefault="0094117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Проект решения является не вполне ясным. Не понятно</w:t>
            </w:r>
            <w:r w:rsidR="0042094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для чего приведено приложение 7 к проекту порядку формирования.</w:t>
            </w:r>
          </w:p>
        </w:tc>
      </w:tr>
      <w:tr w:rsidR="001014D0" w:rsidRPr="001014D0" w14:paraId="7456D104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63EDAA5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12.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53748A81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19D87EE" w14:textId="280C7ED4" w:rsidR="00BC5842" w:rsidRPr="0042094C" w:rsidRDefault="0042094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Химическая отрасль, нефтегазовая сфера.</w:t>
            </w:r>
          </w:p>
        </w:tc>
      </w:tr>
      <w:tr w:rsidR="001014D0" w:rsidRPr="001014D0" w14:paraId="6CCB2320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38F256EC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43FD7054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BB7D00" w:rsidRPr="001014D0" w14:paraId="20E9E132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4C5CD87C" w14:textId="633BFFE0" w:rsidR="00BB7D00" w:rsidRPr="00BB7D00" w:rsidRDefault="00BB7D00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Процесс нотификации требует много времени и финансовых средств.  Каждый год изготовители хим. продукции используют новую смесь или вещество и как правило состав продукта не раскрывают в целях конфиденциальности. В случае несвоевременного выполнения нотификации это может привести к примеру к простою дорогостоящего оборудования (к примеру буровых установок) и, соответственно, значительным финансовым затратам, а также задержке в выполнении плановых показателей стратегически важных объектов. Как показывает практика альтернативная хим. продукции не всегда проходит соответствующие испытания, а для некоторых проектов с учетом его специфики разрабатывается продукт, на который не существует аналогов в странах ЕАЭС. В этом случае эти требования определенно создают барьер именно для потребителей, чье производство нуждается в потреблений химической продукции, используемой передовыми технологиями. Более того в связи с отсутствием аккредитованных лабораторий на территорий РК и соответствующих методик определения химических смесей вопрос вступления в силу этих документов стоит отложить, так как для начала считаем что процесс нотификации должен успешно применяться лабораториями на практике в каждой из стран ЕАЭС</w:t>
            </w:r>
            <w:r w:rsidRPr="00BB7D0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  <w:tr w:rsidR="001014D0" w:rsidRPr="001014D0" w14:paraId="1346715B" w14:textId="77777777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F6FF2" w14:textId="77777777"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5419B8FE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CC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E08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023BDC7C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DABE3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02AEE" w14:textId="77777777"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1F81620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35D" w14:textId="73E097BB" w:rsidR="00BC5842" w:rsidRPr="0042094C" w:rsidRDefault="0042094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87F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1B51117A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5AC14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76F2F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44636B2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007" w14:textId="0A29D839" w:rsidR="00BC5842" w:rsidRPr="0042094C" w:rsidRDefault="0042094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03B2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342C8ED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12867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C7DA3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312D20C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40D" w14:textId="0258BCC8" w:rsidR="00BC5842" w:rsidRPr="0042094C" w:rsidRDefault="0042094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E04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35991530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0FBAA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37269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C37C4E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39E" w14:textId="214EEF5E" w:rsidR="00BC5842" w:rsidRPr="0042094C" w:rsidRDefault="0042094C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A4C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159D3392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9C4D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1F7D3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E9FFD4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A51" w14:textId="039CBA9E" w:rsidR="00BC5842" w:rsidRPr="00EB2B47" w:rsidRDefault="00EB2B4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E6AB2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258E2FB5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3E1F0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F6B90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193915A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5AA" w14:textId="2EAFEE9B" w:rsidR="00BC5842" w:rsidRPr="00EB2B47" w:rsidRDefault="00EB2B4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55C7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2BD0445B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15C8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74FE1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2E94208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3D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46B68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51205AA4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7112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2D1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14:paraId="61422183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lang w:eastAsia="x-none"/>
        </w:rPr>
        <w:t>__________________</w:t>
      </w:r>
    </w:p>
    <w:p w14:paraId="410C99EC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1B79CBD4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2A8D365E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1014D0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066B9064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14:paraId="678EF071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  <w:lang w:eastAsia="x-none"/>
        </w:rPr>
        <w:t>.</w:t>
      </w:r>
    </w:p>
    <w:p w14:paraId="71AB0E04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4A45B008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6E7EF10E" w14:textId="77777777" w:rsidR="00E30236" w:rsidRPr="001014D0" w:rsidRDefault="00BC5842" w:rsidP="003C663F">
      <w:pPr>
        <w:spacing w:after="0" w:line="240" w:lineRule="auto"/>
        <w:ind w:left="-142"/>
        <w:jc w:val="both"/>
      </w:pPr>
      <w:r w:rsidRPr="001014D0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1014D0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RPr="001014D0" w:rsidSect="005029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FB0A" w14:textId="77777777" w:rsidR="000E3EE2" w:rsidRDefault="000E3EE2" w:rsidP="005029A2">
      <w:pPr>
        <w:spacing w:after="0" w:line="240" w:lineRule="auto"/>
      </w:pPr>
      <w:r>
        <w:separator/>
      </w:r>
    </w:p>
  </w:endnote>
  <w:endnote w:type="continuationSeparator" w:id="0">
    <w:p w14:paraId="1E7F1430" w14:textId="77777777" w:rsidR="000E3EE2" w:rsidRDefault="000E3EE2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1C39D" w14:textId="77777777" w:rsidR="00EB2B47" w:rsidRDefault="00EB2B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6135" w14:textId="77777777" w:rsidR="00EB2B47" w:rsidRDefault="00EB2B4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E7785" w14:textId="77777777" w:rsidR="00EB2B47" w:rsidRDefault="00EB2B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B05B" w14:textId="77777777" w:rsidR="000E3EE2" w:rsidRDefault="000E3EE2" w:rsidP="005029A2">
      <w:pPr>
        <w:spacing w:after="0" w:line="240" w:lineRule="auto"/>
      </w:pPr>
      <w:r>
        <w:separator/>
      </w:r>
    </w:p>
  </w:footnote>
  <w:footnote w:type="continuationSeparator" w:id="0">
    <w:p w14:paraId="21B7FA4F" w14:textId="77777777" w:rsidR="000E3EE2" w:rsidRDefault="000E3EE2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C0AFB" w14:textId="77777777" w:rsidR="00EB2B47" w:rsidRDefault="00EB2B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E4242CD" w14:textId="77777777"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E3EF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F099407" w14:textId="77777777" w:rsidR="005029A2" w:rsidRDefault="005029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3031" w14:textId="77777777" w:rsidR="00EB2B47" w:rsidRDefault="00EB2B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6C0A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3EE2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E7BEF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173A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094C"/>
    <w:rsid w:val="004225F6"/>
    <w:rsid w:val="00423E78"/>
    <w:rsid w:val="00425B72"/>
    <w:rsid w:val="00426B56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3BCC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A7D6E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AA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614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72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7D00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0AA0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2B47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4D5D"/>
    <w:rsid w:val="00F2545B"/>
    <w:rsid w:val="00F265DD"/>
    <w:rsid w:val="00F267B2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3EF8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AB304"/>
  <w15:docId w15:val="{430A3735-1ECD-457E-977F-4C50FE4B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ept_techregulation@eecommiss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6CD26-A0A3-4AEE-A524-496B0A85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Company/>
  <LinksUpToDate>false</LinksUpToDate>
  <CharactersWithSpaces>11482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2</cp:revision>
  <cp:lastPrinted>2016-12-16T14:03:00Z</cp:lastPrinted>
  <dcterms:created xsi:type="dcterms:W3CDTF">2021-04-01T07:45:00Z</dcterms:created>
  <dcterms:modified xsi:type="dcterms:W3CDTF">2021-04-01T07:45:00Z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MSIP_Label_6e4db608-ddec-4a44-8ad7-7d5a79b7448e_Enabled">
    <vt:lpwstr>true</vt:lpwstr>
  </property>
  <property fmtid="{D5CDD505-2E9C-101B-9397-08002B2CF9AE}" pid="7" name="MSIP_Label_6e4db608-ddec-4a44-8ad7-7d5a79b7448e_SetDate">
    <vt:lpwstr>2021-03-19T04:53:45Z</vt:lpwstr>
  </property>
  <property fmtid="{D5CDD505-2E9C-101B-9397-08002B2CF9AE}" pid="8" name="MSIP_Label_6e4db608-ddec-4a44-8ad7-7d5a79b7448e_Method">
    <vt:lpwstr>Standard</vt:lpwstr>
  </property>
  <property fmtid="{D5CDD505-2E9C-101B-9397-08002B2CF9AE}" pid="9" name="MSIP_Label_6e4db608-ddec-4a44-8ad7-7d5a79b7448e_Name">
    <vt:lpwstr>Internal</vt:lpwstr>
  </property>
  <property fmtid="{D5CDD505-2E9C-101B-9397-08002B2CF9AE}" pid="10" name="MSIP_Label_6e4db608-ddec-4a44-8ad7-7d5a79b7448e_SiteId">
    <vt:lpwstr>fd799da1-bfc1-4234-a91c-72b3a1cb9e26</vt:lpwstr>
  </property>
  <property fmtid="{D5CDD505-2E9C-101B-9397-08002B2CF9AE}" pid="11" name="MSIP_Label_6e4db608-ddec-4a44-8ad7-7d5a79b7448e_ActionId">
    <vt:lpwstr>2f7beeff-4c8a-4ea6-b54e-fcbee659a84a</vt:lpwstr>
  </property>
  <property fmtid="{D5CDD505-2E9C-101B-9397-08002B2CF9AE}" pid="12" name="MSIP_Label_6e4db608-ddec-4a44-8ad7-7d5a79b7448e_ContentBits">
    <vt:lpwstr>0</vt:lpwstr>
  </property>
</Properties>
</file>