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096" w:rsidRPr="00AF58DD" w:rsidRDefault="00965072" w:rsidP="009D0F8D">
      <w:pPr>
        <w:pStyle w:val="1"/>
        <w:widowControl/>
        <w:spacing w:before="0" w:after="120"/>
        <w:ind w:left="0" w:right="0"/>
        <w:contextualSpacing/>
        <w:rPr>
          <w:sz w:val="28"/>
          <w:szCs w:val="28"/>
        </w:rPr>
      </w:pPr>
      <w:bookmarkStart w:id="0" w:name="_GoBack"/>
      <w:bookmarkEnd w:id="0"/>
      <w:r w:rsidRPr="00C20A3E">
        <w:rPr>
          <w:sz w:val="28"/>
          <w:szCs w:val="28"/>
        </w:rPr>
        <w:t>ИНФОРМАЦИОННО</w:t>
      </w:r>
      <w:r w:rsidR="009D0F8D">
        <w:rPr>
          <w:sz w:val="28"/>
          <w:szCs w:val="28"/>
        </w:rPr>
        <w:t xml:space="preserve"> – </w:t>
      </w:r>
      <w:r w:rsidRPr="00C20A3E">
        <w:rPr>
          <w:sz w:val="28"/>
          <w:szCs w:val="28"/>
        </w:rPr>
        <w:t>АНАЛИТИЧЕСКАЯ СПРАВКА</w:t>
      </w:r>
    </w:p>
    <w:p w:rsidR="001C1096" w:rsidRPr="00C20A3E" w:rsidRDefault="00965072" w:rsidP="00C20A3E">
      <w:pPr>
        <w:widowControl/>
        <w:contextualSpacing/>
        <w:jc w:val="center"/>
        <w:rPr>
          <w:b/>
          <w:bCs/>
          <w:sz w:val="28"/>
          <w:szCs w:val="28"/>
        </w:rPr>
      </w:pPr>
      <w:r w:rsidRPr="00C20A3E">
        <w:rPr>
          <w:b/>
          <w:bCs/>
          <w:sz w:val="28"/>
          <w:szCs w:val="28"/>
        </w:rPr>
        <w:t>о последствиях влияния проекта решения Евразийской</w:t>
      </w:r>
      <w:r w:rsidR="00C20A3E" w:rsidRPr="00C20A3E">
        <w:rPr>
          <w:b/>
          <w:bCs/>
          <w:sz w:val="28"/>
          <w:szCs w:val="28"/>
        </w:rPr>
        <w:t xml:space="preserve"> </w:t>
      </w:r>
      <w:r w:rsidR="00C20A3E">
        <w:rPr>
          <w:b/>
          <w:bCs/>
          <w:sz w:val="28"/>
          <w:szCs w:val="28"/>
        </w:rPr>
        <w:t>э</w:t>
      </w:r>
      <w:r w:rsidRPr="00C20A3E">
        <w:rPr>
          <w:b/>
          <w:bCs/>
          <w:sz w:val="28"/>
          <w:szCs w:val="28"/>
        </w:rPr>
        <w:t>кономической комиссии на условия ведения</w:t>
      </w:r>
      <w:r w:rsidR="00C20A3E" w:rsidRPr="00C20A3E">
        <w:rPr>
          <w:b/>
          <w:bCs/>
          <w:sz w:val="28"/>
          <w:szCs w:val="28"/>
        </w:rPr>
        <w:t xml:space="preserve"> </w:t>
      </w:r>
      <w:r w:rsidRPr="00C20A3E">
        <w:rPr>
          <w:b/>
          <w:bCs/>
          <w:sz w:val="28"/>
          <w:szCs w:val="28"/>
        </w:rPr>
        <w:t>предпринимательской деятельности</w:t>
      </w:r>
    </w:p>
    <w:p w:rsidR="001C1096" w:rsidRPr="008A078A" w:rsidRDefault="001C1096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8A078A" w:rsidRPr="005372F6" w:rsidRDefault="00965072" w:rsidP="0006151C">
      <w:pPr>
        <w:widowControl/>
        <w:tabs>
          <w:tab w:val="left" w:pos="1089"/>
        </w:tabs>
        <w:ind w:firstLine="709"/>
        <w:jc w:val="both"/>
        <w:rPr>
          <w:b/>
          <w:sz w:val="28"/>
          <w:szCs w:val="28"/>
        </w:rPr>
      </w:pPr>
      <w:r w:rsidRPr="005372F6">
        <w:rPr>
          <w:b/>
          <w:sz w:val="28"/>
          <w:szCs w:val="28"/>
        </w:rPr>
        <w:t xml:space="preserve">Наименование проекта </w:t>
      </w:r>
      <w:r w:rsidR="008D3C66" w:rsidRPr="005372F6">
        <w:rPr>
          <w:b/>
          <w:sz w:val="28"/>
          <w:szCs w:val="28"/>
        </w:rPr>
        <w:t>р</w:t>
      </w:r>
      <w:r w:rsidR="005372F6" w:rsidRPr="005372F6">
        <w:rPr>
          <w:b/>
          <w:sz w:val="28"/>
          <w:szCs w:val="28"/>
        </w:rPr>
        <w:t>ешения:</w:t>
      </w:r>
    </w:p>
    <w:p w:rsidR="001C1096" w:rsidRPr="00850BBE" w:rsidRDefault="00EB5012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Проект решения Совета</w:t>
      </w:r>
      <w:r w:rsidR="0091432F" w:rsidRPr="005372F6">
        <w:rPr>
          <w:sz w:val="28"/>
          <w:szCs w:val="28"/>
        </w:rPr>
        <w:t xml:space="preserve"> Евразийской экономической комиссии (далее – </w:t>
      </w:r>
      <w:r w:rsidRPr="005372F6">
        <w:rPr>
          <w:sz w:val="28"/>
          <w:szCs w:val="28"/>
        </w:rPr>
        <w:t>ЕЭК</w:t>
      </w:r>
      <w:r w:rsidR="0091432F" w:rsidRPr="005372F6">
        <w:rPr>
          <w:sz w:val="28"/>
          <w:szCs w:val="28"/>
        </w:rPr>
        <w:t>)</w:t>
      </w:r>
      <w:r w:rsidRPr="005372F6">
        <w:rPr>
          <w:sz w:val="28"/>
          <w:szCs w:val="28"/>
        </w:rPr>
        <w:t xml:space="preserve"> </w:t>
      </w:r>
      <w:r w:rsidR="008A078A" w:rsidRPr="005372F6">
        <w:rPr>
          <w:sz w:val="28"/>
          <w:szCs w:val="28"/>
        </w:rPr>
        <w:t>«О перечне товаров, ввезенных на таможенную территорию Евразийского экономического союза, в отношении которых осуществляется прослеживаемость»</w:t>
      </w:r>
      <w:r w:rsidRPr="005372F6">
        <w:rPr>
          <w:sz w:val="28"/>
          <w:szCs w:val="28"/>
        </w:rPr>
        <w:t xml:space="preserve"> (далее – решение Совета ЕЭК)</w:t>
      </w:r>
      <w:r w:rsidR="00965072" w:rsidRPr="005372F6">
        <w:rPr>
          <w:sz w:val="28"/>
          <w:szCs w:val="28"/>
        </w:rPr>
        <w:t>.</w:t>
      </w:r>
    </w:p>
    <w:p w:rsidR="005372F6" w:rsidRPr="005372F6" w:rsidRDefault="005372F6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8A078A" w:rsidRPr="005372F6" w:rsidRDefault="005372F6" w:rsidP="0006151C">
      <w:pPr>
        <w:widowControl/>
        <w:tabs>
          <w:tab w:val="left" w:pos="1089"/>
        </w:tabs>
        <w:ind w:firstLine="709"/>
        <w:jc w:val="both"/>
        <w:rPr>
          <w:b/>
          <w:sz w:val="28"/>
          <w:szCs w:val="28"/>
        </w:rPr>
      </w:pPr>
      <w:r w:rsidRPr="005372F6">
        <w:rPr>
          <w:b/>
          <w:sz w:val="28"/>
          <w:szCs w:val="28"/>
        </w:rPr>
        <w:t>1</w:t>
      </w:r>
      <w:r w:rsidR="008A078A" w:rsidRPr="005372F6">
        <w:rPr>
          <w:b/>
          <w:sz w:val="28"/>
          <w:szCs w:val="28"/>
        </w:rPr>
        <w:t>. </w:t>
      </w:r>
      <w:r w:rsidR="00965072" w:rsidRPr="005372F6">
        <w:rPr>
          <w:b/>
          <w:sz w:val="28"/>
          <w:szCs w:val="28"/>
        </w:rPr>
        <w:t xml:space="preserve">Проблема, на решение которой направлен проект </w:t>
      </w:r>
      <w:r w:rsidR="008A078A" w:rsidRPr="005372F6">
        <w:rPr>
          <w:b/>
          <w:sz w:val="28"/>
          <w:szCs w:val="28"/>
        </w:rPr>
        <w:t>решения ЕЭК</w:t>
      </w:r>
      <w:r w:rsidRPr="005372F6">
        <w:rPr>
          <w:b/>
          <w:sz w:val="28"/>
          <w:szCs w:val="28"/>
        </w:rPr>
        <w:t>.</w:t>
      </w:r>
    </w:p>
    <w:p w:rsidR="001251E1" w:rsidRPr="004D11C9" w:rsidRDefault="001251E1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1251E1">
        <w:rPr>
          <w:sz w:val="28"/>
          <w:szCs w:val="28"/>
        </w:rPr>
        <w:t xml:space="preserve">Отсутствие перечня товаров, в отношении которых </w:t>
      </w:r>
      <w:r>
        <w:rPr>
          <w:sz w:val="28"/>
          <w:szCs w:val="28"/>
        </w:rPr>
        <w:t xml:space="preserve">будет </w:t>
      </w:r>
      <w:r w:rsidRPr="001251E1">
        <w:rPr>
          <w:sz w:val="28"/>
          <w:szCs w:val="28"/>
        </w:rPr>
        <w:t>осуществлят</w:t>
      </w:r>
      <w:r>
        <w:rPr>
          <w:sz w:val="28"/>
          <w:szCs w:val="28"/>
        </w:rPr>
        <w:t>ь</w:t>
      </w:r>
      <w:r w:rsidRPr="001251E1">
        <w:rPr>
          <w:sz w:val="28"/>
          <w:szCs w:val="28"/>
        </w:rPr>
        <w:t>ся прослеживаемость в соответствии с Соглашением о механизме прослеживаемости товаров, ввезенных на таможенную территорию Евразийского экономического союза, от 29 мая 2019 года (далее – Соглашение)</w:t>
      </w:r>
      <w:r w:rsidR="00850BBE">
        <w:rPr>
          <w:sz w:val="28"/>
          <w:szCs w:val="28"/>
        </w:rPr>
        <w:t xml:space="preserve"> </w:t>
      </w:r>
      <w:r w:rsidR="00850BBE" w:rsidRPr="004D11C9">
        <w:rPr>
          <w:sz w:val="28"/>
          <w:szCs w:val="28"/>
        </w:rPr>
        <w:t>на постоянной основе</w:t>
      </w:r>
      <w:r w:rsidRPr="004D11C9">
        <w:rPr>
          <w:sz w:val="28"/>
          <w:szCs w:val="28"/>
        </w:rPr>
        <w:t xml:space="preserve">. </w:t>
      </w:r>
    </w:p>
    <w:p w:rsidR="005372F6" w:rsidRPr="004D11C9" w:rsidRDefault="005372F6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4D11C9" w:rsidRDefault="008A078A" w:rsidP="0006151C">
      <w:pPr>
        <w:pStyle w:val="2"/>
        <w:widowControl/>
        <w:tabs>
          <w:tab w:val="left" w:pos="0"/>
        </w:tabs>
        <w:ind w:left="0" w:firstLine="709"/>
      </w:pPr>
      <w:r w:rsidRPr="004D11C9">
        <w:t>2. </w:t>
      </w:r>
      <w:r w:rsidR="00965072" w:rsidRPr="004D11C9">
        <w:t xml:space="preserve">Цель </w:t>
      </w:r>
      <w:r w:rsidR="008D3C66" w:rsidRPr="004D11C9">
        <w:t>регулирования</w:t>
      </w:r>
      <w:r w:rsidR="005372F6" w:rsidRPr="004D11C9">
        <w:t>.</w:t>
      </w:r>
    </w:p>
    <w:p w:rsidR="001251E1" w:rsidRDefault="001251E1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4D11C9">
        <w:rPr>
          <w:sz w:val="28"/>
          <w:szCs w:val="28"/>
        </w:rPr>
        <w:t>Целями принятия решения Совета ЕЭК</w:t>
      </w:r>
      <w:r w:rsidR="00850BBE" w:rsidRPr="004D11C9">
        <w:rPr>
          <w:sz w:val="28"/>
          <w:szCs w:val="28"/>
        </w:rPr>
        <w:t xml:space="preserve"> (согласно преамбуле Соглашения)</w:t>
      </w:r>
      <w:r w:rsidRPr="001251E1">
        <w:rPr>
          <w:sz w:val="28"/>
          <w:szCs w:val="28"/>
        </w:rPr>
        <w:t xml:space="preserve"> являются:</w:t>
      </w:r>
    </w:p>
    <w:p w:rsidR="002F23DF" w:rsidRPr="005372F6" w:rsidRDefault="00877E18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с</w:t>
      </w:r>
      <w:r w:rsidR="002F23DF" w:rsidRPr="005372F6">
        <w:rPr>
          <w:sz w:val="28"/>
          <w:szCs w:val="28"/>
        </w:rPr>
        <w:t>оздани</w:t>
      </w:r>
      <w:r w:rsidRPr="005372F6">
        <w:rPr>
          <w:sz w:val="28"/>
          <w:szCs w:val="28"/>
        </w:rPr>
        <w:t>е</w:t>
      </w:r>
      <w:r w:rsidR="002F23DF" w:rsidRPr="005372F6">
        <w:rPr>
          <w:sz w:val="28"/>
          <w:szCs w:val="28"/>
        </w:rPr>
        <w:t xml:space="preserve"> условий, исключающи</w:t>
      </w:r>
      <w:r w:rsidRPr="005372F6">
        <w:rPr>
          <w:sz w:val="28"/>
          <w:szCs w:val="28"/>
        </w:rPr>
        <w:t>х</w:t>
      </w:r>
      <w:r w:rsidR="002F23DF" w:rsidRPr="005372F6">
        <w:rPr>
          <w:sz w:val="28"/>
          <w:szCs w:val="28"/>
        </w:rPr>
        <w:t xml:space="preserve"> использование различных схем уклонения от уплаты </w:t>
      </w:r>
      <w:r w:rsidRPr="005372F6">
        <w:rPr>
          <w:sz w:val="28"/>
          <w:szCs w:val="28"/>
        </w:rPr>
        <w:t>таможенных и налоговых платежей</w:t>
      </w:r>
      <w:r w:rsidR="001251E1">
        <w:rPr>
          <w:sz w:val="28"/>
          <w:szCs w:val="28"/>
        </w:rPr>
        <w:t xml:space="preserve"> при перемещении между </w:t>
      </w:r>
      <w:r w:rsidR="001251E1" w:rsidRPr="005372F6">
        <w:rPr>
          <w:sz w:val="28"/>
          <w:szCs w:val="28"/>
        </w:rPr>
        <w:t>государства</w:t>
      </w:r>
      <w:r w:rsidR="001251E1">
        <w:rPr>
          <w:sz w:val="28"/>
          <w:szCs w:val="28"/>
        </w:rPr>
        <w:t>ми</w:t>
      </w:r>
      <w:r w:rsidR="001251E1" w:rsidRPr="005372F6">
        <w:rPr>
          <w:sz w:val="28"/>
          <w:szCs w:val="28"/>
        </w:rPr>
        <w:t xml:space="preserve"> – члена</w:t>
      </w:r>
      <w:r w:rsidR="001251E1">
        <w:rPr>
          <w:sz w:val="28"/>
          <w:szCs w:val="28"/>
        </w:rPr>
        <w:t>ми</w:t>
      </w:r>
      <w:r w:rsidR="001251E1" w:rsidRPr="005372F6">
        <w:rPr>
          <w:sz w:val="28"/>
          <w:szCs w:val="28"/>
        </w:rPr>
        <w:t xml:space="preserve"> ЕАЭС (далее</w:t>
      </w:r>
      <w:r w:rsidR="0006151C">
        <w:rPr>
          <w:sz w:val="28"/>
          <w:szCs w:val="28"/>
        </w:rPr>
        <w:t xml:space="preserve"> соответственно</w:t>
      </w:r>
      <w:r w:rsidR="001251E1" w:rsidRPr="005372F6">
        <w:rPr>
          <w:sz w:val="28"/>
          <w:szCs w:val="28"/>
        </w:rPr>
        <w:t xml:space="preserve"> – государств</w:t>
      </w:r>
      <w:r w:rsidR="001251E1">
        <w:rPr>
          <w:sz w:val="28"/>
          <w:szCs w:val="28"/>
        </w:rPr>
        <w:t>а</w:t>
      </w:r>
      <w:r w:rsidR="001251E1" w:rsidRPr="005372F6">
        <w:rPr>
          <w:sz w:val="28"/>
          <w:szCs w:val="28"/>
        </w:rPr>
        <w:t>-член</w:t>
      </w:r>
      <w:r w:rsidR="001251E1">
        <w:rPr>
          <w:sz w:val="28"/>
          <w:szCs w:val="28"/>
        </w:rPr>
        <w:t>ы</w:t>
      </w:r>
      <w:r w:rsidR="0006151C">
        <w:rPr>
          <w:sz w:val="28"/>
          <w:szCs w:val="28"/>
        </w:rPr>
        <w:t>, ЕАЭС</w:t>
      </w:r>
      <w:r w:rsidR="001251E1" w:rsidRPr="005372F6">
        <w:rPr>
          <w:sz w:val="28"/>
          <w:szCs w:val="28"/>
        </w:rPr>
        <w:t>)</w:t>
      </w:r>
      <w:r w:rsidR="001251E1">
        <w:rPr>
          <w:sz w:val="28"/>
          <w:szCs w:val="28"/>
        </w:rPr>
        <w:t xml:space="preserve"> товаров, включенных перечень, утверждаемый решением Совета ЕЭК</w:t>
      </w:r>
      <w:r w:rsidRPr="005372F6">
        <w:rPr>
          <w:sz w:val="28"/>
          <w:szCs w:val="28"/>
        </w:rPr>
        <w:t>;</w:t>
      </w:r>
    </w:p>
    <w:p w:rsidR="002F23DF" w:rsidRPr="005372F6" w:rsidRDefault="00877E18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 xml:space="preserve">подтверждение </w:t>
      </w:r>
      <w:r w:rsidR="002F23DF" w:rsidRPr="005372F6">
        <w:rPr>
          <w:sz w:val="28"/>
          <w:szCs w:val="28"/>
        </w:rPr>
        <w:t xml:space="preserve">законности оборота </w:t>
      </w:r>
      <w:r w:rsidR="001251E1">
        <w:rPr>
          <w:sz w:val="28"/>
          <w:szCs w:val="28"/>
        </w:rPr>
        <w:t xml:space="preserve">таких </w:t>
      </w:r>
      <w:r w:rsidR="002F23DF" w:rsidRPr="005372F6">
        <w:rPr>
          <w:sz w:val="28"/>
          <w:szCs w:val="28"/>
        </w:rPr>
        <w:t xml:space="preserve">товаров при их перемещении </w:t>
      </w:r>
      <w:r w:rsidR="0007569C">
        <w:rPr>
          <w:sz w:val="28"/>
          <w:szCs w:val="28"/>
        </w:rPr>
        <w:br/>
      </w:r>
      <w:r w:rsidR="002F23DF" w:rsidRPr="005372F6">
        <w:rPr>
          <w:sz w:val="28"/>
          <w:szCs w:val="28"/>
        </w:rPr>
        <w:t>с территории одного государства</w:t>
      </w:r>
      <w:r w:rsidR="0006151C">
        <w:rPr>
          <w:sz w:val="28"/>
          <w:szCs w:val="28"/>
        </w:rPr>
        <w:t>-</w:t>
      </w:r>
      <w:r w:rsidR="002F23DF" w:rsidRPr="005372F6">
        <w:rPr>
          <w:sz w:val="28"/>
          <w:szCs w:val="28"/>
        </w:rPr>
        <w:t>члена на терри</w:t>
      </w:r>
      <w:r w:rsidRPr="005372F6">
        <w:rPr>
          <w:sz w:val="28"/>
          <w:szCs w:val="28"/>
        </w:rPr>
        <w:t>торию другого государства-члена;</w:t>
      </w:r>
    </w:p>
    <w:p w:rsidR="002F23DF" w:rsidRDefault="00877E18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обеспечение</w:t>
      </w:r>
      <w:r w:rsidR="00840D1E" w:rsidRPr="005372F6">
        <w:rPr>
          <w:sz w:val="28"/>
          <w:szCs w:val="28"/>
        </w:rPr>
        <w:t xml:space="preserve"> </w:t>
      </w:r>
      <w:r w:rsidR="002F23DF" w:rsidRPr="005372F6">
        <w:rPr>
          <w:sz w:val="28"/>
          <w:szCs w:val="28"/>
        </w:rPr>
        <w:t>контрол</w:t>
      </w:r>
      <w:r w:rsidRPr="005372F6">
        <w:rPr>
          <w:sz w:val="28"/>
          <w:szCs w:val="28"/>
        </w:rPr>
        <w:t>я</w:t>
      </w:r>
      <w:r w:rsidR="002F23DF" w:rsidRPr="005372F6">
        <w:rPr>
          <w:sz w:val="28"/>
          <w:szCs w:val="28"/>
        </w:rPr>
        <w:t xml:space="preserve"> за операциями, связанными с оборотом товаров</w:t>
      </w:r>
      <w:r w:rsidRPr="005372F6">
        <w:rPr>
          <w:sz w:val="28"/>
          <w:szCs w:val="28"/>
        </w:rPr>
        <w:t>.</w:t>
      </w:r>
    </w:p>
    <w:p w:rsidR="005372F6" w:rsidRPr="005372F6" w:rsidRDefault="005372F6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8A078A" w:rsidP="0006151C">
      <w:pPr>
        <w:pStyle w:val="2"/>
        <w:widowControl/>
        <w:tabs>
          <w:tab w:val="left" w:pos="0"/>
        </w:tabs>
        <w:ind w:left="0" w:firstLine="709"/>
      </w:pPr>
      <w:r w:rsidRPr="005372F6">
        <w:t>3. </w:t>
      </w:r>
      <w:r w:rsidR="00965072" w:rsidRPr="005372F6">
        <w:t xml:space="preserve"> Группа лиц, на защиту интересов которых направлен проект решения </w:t>
      </w:r>
      <w:r w:rsidR="008D3C66" w:rsidRPr="005372F6">
        <w:t>ЕЭК</w:t>
      </w:r>
      <w:r w:rsidR="005372F6">
        <w:t>.</w:t>
      </w:r>
    </w:p>
    <w:p w:rsidR="001251E1" w:rsidRPr="0006151C" w:rsidRDefault="00D11E22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р</w:t>
      </w:r>
      <w:r w:rsidR="001251E1" w:rsidRPr="0006151C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="001251E1" w:rsidRPr="0006151C">
        <w:rPr>
          <w:sz w:val="28"/>
          <w:szCs w:val="28"/>
        </w:rPr>
        <w:t xml:space="preserve"> Совета ЕЭК направлен на защиту интересов следующих групп лиц: </w:t>
      </w:r>
    </w:p>
    <w:p w:rsidR="001251E1" w:rsidRPr="0006151C" w:rsidRDefault="001251E1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06151C">
        <w:rPr>
          <w:sz w:val="28"/>
          <w:szCs w:val="28"/>
        </w:rPr>
        <w:t>уполномоченные органы государств-членов (в связи с минимизацией схем уклонения от уплаты таможенных и налоговых платежей);</w:t>
      </w:r>
    </w:p>
    <w:p w:rsidR="001251E1" w:rsidRPr="00581EDC" w:rsidRDefault="001251E1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06151C">
        <w:rPr>
          <w:sz w:val="28"/>
          <w:szCs w:val="28"/>
        </w:rPr>
        <w:t xml:space="preserve">добросовестные субъекты предпринимательской деятельности, соблюдающие </w:t>
      </w:r>
      <w:r w:rsidRPr="00581EDC">
        <w:rPr>
          <w:sz w:val="28"/>
          <w:szCs w:val="28"/>
        </w:rPr>
        <w:t xml:space="preserve">законодательные требования при перемещении товаров в рамках ЕАЭС (в связи </w:t>
      </w:r>
      <w:r w:rsidR="00761C12" w:rsidRPr="00581EDC">
        <w:rPr>
          <w:sz w:val="28"/>
          <w:szCs w:val="28"/>
        </w:rPr>
        <w:t xml:space="preserve">со снижением недобросовестной конкуренции со стороны </w:t>
      </w:r>
      <w:r w:rsidRPr="00581EDC">
        <w:rPr>
          <w:sz w:val="28"/>
          <w:szCs w:val="28"/>
        </w:rPr>
        <w:t>субъект</w:t>
      </w:r>
      <w:r w:rsidR="00761C12" w:rsidRPr="00581EDC">
        <w:rPr>
          <w:sz w:val="28"/>
          <w:szCs w:val="28"/>
        </w:rPr>
        <w:t>ов</w:t>
      </w:r>
      <w:r w:rsidRPr="00581EDC">
        <w:rPr>
          <w:sz w:val="28"/>
          <w:szCs w:val="28"/>
        </w:rPr>
        <w:t xml:space="preserve"> предпринимательской деятельности, уклоняющи</w:t>
      </w:r>
      <w:r w:rsidR="00761C12" w:rsidRPr="00581EDC">
        <w:rPr>
          <w:sz w:val="28"/>
          <w:szCs w:val="28"/>
        </w:rPr>
        <w:t>х</w:t>
      </w:r>
      <w:r w:rsidRPr="00581EDC">
        <w:rPr>
          <w:sz w:val="28"/>
          <w:szCs w:val="28"/>
        </w:rPr>
        <w:t>ся от уплаты таможенных и налоговых платежей).</w:t>
      </w:r>
    </w:p>
    <w:p w:rsidR="001C1096" w:rsidRPr="005372F6" w:rsidRDefault="001C1096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8A078A" w:rsidP="0006151C">
      <w:pPr>
        <w:pStyle w:val="2"/>
        <w:widowControl/>
        <w:tabs>
          <w:tab w:val="left" w:pos="0"/>
        </w:tabs>
        <w:ind w:left="0" w:firstLine="709"/>
      </w:pPr>
      <w:r w:rsidRPr="005372F6">
        <w:t>4. </w:t>
      </w:r>
      <w:r w:rsidR="00965072" w:rsidRPr="005372F6">
        <w:t> Адресаты</w:t>
      </w:r>
      <w:r w:rsidR="00502162" w:rsidRPr="005372F6">
        <w:t xml:space="preserve"> регулирования, в том числе субъекты </w:t>
      </w:r>
      <w:r w:rsidR="00965072" w:rsidRPr="005372F6">
        <w:t>предпринимательской деятельности, и воздействие, ок</w:t>
      </w:r>
      <w:r w:rsidR="008D3C66" w:rsidRPr="005372F6">
        <w:t>азываемое на них регулированием</w:t>
      </w:r>
      <w:r w:rsidR="005372F6">
        <w:t>.</w:t>
      </w:r>
    </w:p>
    <w:p w:rsidR="001C1096" w:rsidRPr="005372F6" w:rsidRDefault="00965072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Основными адресатами регулирования проекта</w:t>
      </w:r>
      <w:r w:rsidR="00EB5012" w:rsidRPr="005372F6">
        <w:rPr>
          <w:sz w:val="28"/>
          <w:szCs w:val="28"/>
        </w:rPr>
        <w:t xml:space="preserve"> решения</w:t>
      </w:r>
      <w:r w:rsidRPr="005372F6">
        <w:rPr>
          <w:sz w:val="28"/>
          <w:szCs w:val="28"/>
        </w:rPr>
        <w:t xml:space="preserve"> </w:t>
      </w:r>
      <w:r w:rsidR="00EB5012" w:rsidRPr="005372F6">
        <w:rPr>
          <w:sz w:val="28"/>
          <w:szCs w:val="28"/>
        </w:rPr>
        <w:t xml:space="preserve">Совета ЕЭК </w:t>
      </w:r>
      <w:r w:rsidRPr="005372F6">
        <w:rPr>
          <w:sz w:val="28"/>
          <w:szCs w:val="28"/>
        </w:rPr>
        <w:t>являются:</w:t>
      </w:r>
    </w:p>
    <w:p w:rsidR="004E2B8E" w:rsidRDefault="004E2B8E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государственные органы государств-членов, уполномоченные обеспечивать сбор, учет, хранение и обработку сведений, включаемых в национальную систему прослеживаемости, и (или) реализацию механизма прослеживаемости</w:t>
      </w:r>
      <w:r w:rsidR="00F42B9E" w:rsidRPr="005372F6">
        <w:rPr>
          <w:sz w:val="28"/>
          <w:szCs w:val="28"/>
        </w:rPr>
        <w:t>;</w:t>
      </w:r>
    </w:p>
    <w:p w:rsidR="003E2F07" w:rsidRPr="005372F6" w:rsidRDefault="003E2F07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360147" w:rsidRDefault="00A02E15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lastRenderedPageBreak/>
        <w:t xml:space="preserve">субъекты предпринимательской деятельности </w:t>
      </w:r>
      <w:r w:rsidR="00F42B9E" w:rsidRPr="005372F6">
        <w:rPr>
          <w:sz w:val="28"/>
          <w:szCs w:val="28"/>
        </w:rPr>
        <w:t>г</w:t>
      </w:r>
      <w:r w:rsidR="00EB5012" w:rsidRPr="005372F6">
        <w:rPr>
          <w:sz w:val="28"/>
          <w:szCs w:val="28"/>
        </w:rPr>
        <w:t>осударств-член</w:t>
      </w:r>
      <w:r w:rsidR="00F42B9E" w:rsidRPr="005372F6">
        <w:rPr>
          <w:sz w:val="28"/>
          <w:szCs w:val="28"/>
        </w:rPr>
        <w:t>ов,</w:t>
      </w:r>
      <w:r w:rsidR="00EB5012" w:rsidRPr="005372F6">
        <w:rPr>
          <w:sz w:val="28"/>
          <w:szCs w:val="28"/>
        </w:rPr>
        <w:t xml:space="preserve"> осуществляющие ввоз на таможенную территорию ЕАЭС и перемещение между государствами-членами товаров, включенных в перечень, утверждаемый </w:t>
      </w:r>
      <w:r w:rsidR="00924F4A" w:rsidRPr="005372F6">
        <w:rPr>
          <w:sz w:val="28"/>
          <w:szCs w:val="28"/>
        </w:rPr>
        <w:t xml:space="preserve">решением </w:t>
      </w:r>
      <w:r w:rsidR="00924F4A" w:rsidRPr="00360147">
        <w:rPr>
          <w:sz w:val="28"/>
          <w:szCs w:val="28"/>
        </w:rPr>
        <w:t>Совета ЕЭК</w:t>
      </w:r>
      <w:r w:rsidR="00F42B9E" w:rsidRPr="00360147">
        <w:rPr>
          <w:sz w:val="28"/>
          <w:szCs w:val="28"/>
        </w:rPr>
        <w:t>.</w:t>
      </w:r>
    </w:p>
    <w:p w:rsidR="0006151C" w:rsidRPr="0006151C" w:rsidRDefault="0006151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360147">
        <w:rPr>
          <w:sz w:val="28"/>
          <w:szCs w:val="28"/>
        </w:rPr>
        <w:t>Воздействи</w:t>
      </w:r>
      <w:r w:rsidR="00360147" w:rsidRPr="00360147">
        <w:rPr>
          <w:sz w:val="28"/>
          <w:szCs w:val="28"/>
        </w:rPr>
        <w:t>е</w:t>
      </w:r>
      <w:r w:rsidRPr="00360147">
        <w:rPr>
          <w:sz w:val="28"/>
          <w:szCs w:val="28"/>
        </w:rPr>
        <w:t xml:space="preserve"> на адресатов регулирования будет заключаться в определении товарного охвата (области применения) требований и процедур, касающихся осуществления прослеживаемости в соответствии с Соглашением.</w:t>
      </w:r>
      <w:r w:rsidRPr="0006151C">
        <w:rPr>
          <w:sz w:val="28"/>
          <w:szCs w:val="28"/>
        </w:rPr>
        <w:t xml:space="preserve"> </w:t>
      </w:r>
    </w:p>
    <w:p w:rsidR="001C1096" w:rsidRPr="005372F6" w:rsidRDefault="001C1096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8A078A" w:rsidP="0006151C">
      <w:pPr>
        <w:pStyle w:val="2"/>
        <w:widowControl/>
        <w:tabs>
          <w:tab w:val="left" w:pos="0"/>
        </w:tabs>
        <w:ind w:left="0" w:firstLine="709"/>
      </w:pPr>
      <w:r w:rsidRPr="005372F6">
        <w:t>5. </w:t>
      </w:r>
      <w:r w:rsidR="00965072" w:rsidRPr="005372F6">
        <w:t xml:space="preserve">Содержание устанавливаемых для адресатов регулирования ограничений </w:t>
      </w:r>
      <w:r w:rsidR="008D3C66" w:rsidRPr="005372F6">
        <w:t>(обязательных правил поведения)</w:t>
      </w:r>
      <w:r w:rsidR="005372F6">
        <w:t>.</w:t>
      </w:r>
    </w:p>
    <w:p w:rsidR="0006151C" w:rsidRPr="00B9055B" w:rsidRDefault="00B9055B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B9055B">
        <w:rPr>
          <w:sz w:val="28"/>
          <w:szCs w:val="28"/>
        </w:rPr>
        <w:t>Проектом р</w:t>
      </w:r>
      <w:r w:rsidR="0006151C" w:rsidRPr="00B9055B">
        <w:rPr>
          <w:sz w:val="28"/>
          <w:szCs w:val="28"/>
        </w:rPr>
        <w:t>ешени</w:t>
      </w:r>
      <w:r w:rsidRPr="00B9055B">
        <w:rPr>
          <w:sz w:val="28"/>
          <w:szCs w:val="28"/>
        </w:rPr>
        <w:t>я</w:t>
      </w:r>
      <w:r w:rsidR="0006151C" w:rsidRPr="00B9055B">
        <w:rPr>
          <w:sz w:val="28"/>
          <w:szCs w:val="28"/>
        </w:rPr>
        <w:t xml:space="preserve"> Совета ЕЭК</w:t>
      </w:r>
      <w:r w:rsidRPr="00B9055B">
        <w:rPr>
          <w:sz w:val="28"/>
          <w:szCs w:val="28"/>
        </w:rPr>
        <w:t xml:space="preserve"> предполагается утверждение </w:t>
      </w:r>
      <w:r w:rsidR="0006151C" w:rsidRPr="00B9055B">
        <w:rPr>
          <w:sz w:val="28"/>
          <w:szCs w:val="28"/>
        </w:rPr>
        <w:t>переч</w:t>
      </w:r>
      <w:r w:rsidRPr="00B9055B">
        <w:rPr>
          <w:sz w:val="28"/>
          <w:szCs w:val="28"/>
        </w:rPr>
        <w:t>ня</w:t>
      </w:r>
      <w:r w:rsidR="0006151C" w:rsidRPr="00B9055B">
        <w:rPr>
          <w:sz w:val="28"/>
          <w:szCs w:val="28"/>
        </w:rPr>
        <w:t xml:space="preserve"> товаров, в отношении которых</w:t>
      </w:r>
      <w:r w:rsidRPr="00B9055B">
        <w:rPr>
          <w:sz w:val="28"/>
          <w:szCs w:val="28"/>
        </w:rPr>
        <w:t xml:space="preserve"> будет </w:t>
      </w:r>
      <w:r w:rsidR="0006151C" w:rsidRPr="00B9055B">
        <w:rPr>
          <w:sz w:val="28"/>
          <w:szCs w:val="28"/>
        </w:rPr>
        <w:t>осуществляется прослеживаемост</w:t>
      </w:r>
      <w:r w:rsidRPr="00B9055B">
        <w:rPr>
          <w:sz w:val="28"/>
          <w:szCs w:val="28"/>
        </w:rPr>
        <w:t xml:space="preserve">ь в соответствии с </w:t>
      </w:r>
      <w:r w:rsidRPr="004D11C9">
        <w:rPr>
          <w:sz w:val="28"/>
          <w:szCs w:val="28"/>
        </w:rPr>
        <w:t>Соглашением</w:t>
      </w:r>
      <w:r w:rsidR="007A697E" w:rsidRPr="004D11C9">
        <w:rPr>
          <w:sz w:val="28"/>
          <w:szCs w:val="28"/>
        </w:rPr>
        <w:t xml:space="preserve"> на постоянной основе</w:t>
      </w:r>
      <w:r w:rsidRPr="004D11C9">
        <w:rPr>
          <w:sz w:val="28"/>
          <w:szCs w:val="28"/>
        </w:rPr>
        <w:t>, который</w:t>
      </w:r>
      <w:r w:rsidRPr="00B9055B">
        <w:rPr>
          <w:sz w:val="28"/>
          <w:szCs w:val="28"/>
        </w:rPr>
        <w:t xml:space="preserve"> включает:</w:t>
      </w:r>
    </w:p>
    <w:p w:rsidR="00B9055B" w:rsidRPr="00B9055B" w:rsidRDefault="00B9055B" w:rsidP="00B9055B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B9055B">
        <w:rPr>
          <w:sz w:val="28"/>
          <w:szCs w:val="28"/>
        </w:rPr>
        <w:t>«холодильники и морозильники бытовые» (товары, подлежащие прослеживаемости в рамках пилотного проекта</w:t>
      </w:r>
      <w:r w:rsidR="00360147" w:rsidRPr="00360147">
        <w:rPr>
          <w:sz w:val="28"/>
          <w:szCs w:val="28"/>
        </w:rPr>
        <w:t xml:space="preserve"> </w:t>
      </w:r>
      <w:r w:rsidR="00360147" w:rsidRPr="005372F6">
        <w:rPr>
          <w:sz w:val="28"/>
          <w:szCs w:val="28"/>
        </w:rPr>
        <w:t>по внедрению механизма прослеживаемости товаров, ввезенных на таможенную территорию ЕАЭС</w:t>
      </w:r>
      <w:r w:rsidR="00EA069F">
        <w:rPr>
          <w:sz w:val="28"/>
          <w:szCs w:val="28"/>
        </w:rPr>
        <w:t xml:space="preserve">, который </w:t>
      </w:r>
      <w:r w:rsidR="00EA069F" w:rsidRPr="005372F6">
        <w:rPr>
          <w:sz w:val="28"/>
          <w:szCs w:val="28"/>
        </w:rPr>
        <w:t xml:space="preserve">проводился в </w:t>
      </w:r>
      <w:r w:rsidR="00EA069F">
        <w:rPr>
          <w:sz w:val="28"/>
          <w:szCs w:val="28"/>
        </w:rPr>
        <w:t xml:space="preserve">соответствии с </w:t>
      </w:r>
      <w:r w:rsidR="00EA069F" w:rsidRPr="005372F6">
        <w:rPr>
          <w:sz w:val="28"/>
          <w:szCs w:val="28"/>
        </w:rPr>
        <w:t>Решение</w:t>
      </w:r>
      <w:r w:rsidR="00EA069F">
        <w:rPr>
          <w:sz w:val="28"/>
          <w:szCs w:val="28"/>
        </w:rPr>
        <w:t>м</w:t>
      </w:r>
      <w:r w:rsidR="00EA069F" w:rsidRPr="005372F6">
        <w:rPr>
          <w:sz w:val="28"/>
          <w:szCs w:val="28"/>
        </w:rPr>
        <w:t xml:space="preserve"> Совета ЕЭК от 21 января 2022 г. № 2</w:t>
      </w:r>
      <w:r w:rsidRPr="00B9055B">
        <w:rPr>
          <w:sz w:val="28"/>
          <w:szCs w:val="28"/>
        </w:rPr>
        <w:t xml:space="preserve"> (11 кодов ТН ВЭД ЕАЭС), а также товары, классифицируемые кодом ТН ВЭД ЕАЭС </w:t>
      </w:r>
      <w:r w:rsidR="00A231CE">
        <w:rPr>
          <w:sz w:val="28"/>
          <w:szCs w:val="28"/>
        </w:rPr>
        <w:br/>
      </w:r>
      <w:r w:rsidRPr="00B9055B">
        <w:rPr>
          <w:sz w:val="28"/>
          <w:szCs w:val="28"/>
        </w:rPr>
        <w:t>8418 29 000 0 «холодильники бытовые прочие»);</w:t>
      </w:r>
    </w:p>
    <w:p w:rsidR="00B9055B" w:rsidRPr="00B9055B" w:rsidRDefault="00B9055B" w:rsidP="00B9055B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B9055B">
        <w:rPr>
          <w:sz w:val="28"/>
          <w:szCs w:val="28"/>
        </w:rPr>
        <w:t>«машины стиральные, бытовые или для прачечных, включая машины, оснащенные отжимным устройством» (6 кодов ТН ВЭД ЕАЭС);</w:t>
      </w:r>
    </w:p>
    <w:p w:rsidR="00B9055B" w:rsidRPr="00B9055B" w:rsidRDefault="00B9055B" w:rsidP="00B9055B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B9055B">
        <w:rPr>
          <w:sz w:val="28"/>
          <w:szCs w:val="28"/>
        </w:rPr>
        <w:t>«аппаратура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изображение» (16 кодов ТН ВЭД ЕАЭС)</w:t>
      </w:r>
      <w:r w:rsidR="00581EDC">
        <w:rPr>
          <w:sz w:val="28"/>
          <w:szCs w:val="28"/>
        </w:rPr>
        <w:t>.</w:t>
      </w:r>
    </w:p>
    <w:p w:rsidR="00A231CE" w:rsidRDefault="00A231CE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Согласно пункту 3 статьи 4 Соглашения сведения о товарах, подлежащих прослеживаемости, фактически находящихся на таможенной территории ЕАЭС на дату вступления в силу решения ЕЭК об утверждении перечня (внесении изменений в перечень), и операциях, связанных с оборотом таких товаров, также должны б</w:t>
      </w:r>
      <w:r w:rsidR="00456D29">
        <w:rPr>
          <w:sz w:val="28"/>
          <w:szCs w:val="28"/>
        </w:rPr>
        <w:t>ыть</w:t>
      </w:r>
      <w:r w:rsidRPr="005372F6">
        <w:rPr>
          <w:sz w:val="28"/>
          <w:szCs w:val="28"/>
        </w:rPr>
        <w:t xml:space="preserve"> включены в национальную систему прослеживаемости.</w:t>
      </w:r>
      <w:r>
        <w:rPr>
          <w:sz w:val="28"/>
          <w:szCs w:val="28"/>
        </w:rPr>
        <w:t xml:space="preserve"> </w:t>
      </w:r>
    </w:p>
    <w:p w:rsidR="00D02728" w:rsidRPr="005372F6" w:rsidRDefault="00D02728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 xml:space="preserve">Согласно </w:t>
      </w:r>
      <w:r w:rsidR="00E32963" w:rsidRPr="005372F6">
        <w:rPr>
          <w:sz w:val="28"/>
          <w:szCs w:val="28"/>
        </w:rPr>
        <w:t xml:space="preserve">пункту 1 </w:t>
      </w:r>
      <w:r w:rsidRPr="005372F6">
        <w:rPr>
          <w:sz w:val="28"/>
          <w:szCs w:val="28"/>
        </w:rPr>
        <w:t>стать</w:t>
      </w:r>
      <w:r w:rsidR="00E32963" w:rsidRPr="005372F6">
        <w:rPr>
          <w:sz w:val="28"/>
          <w:szCs w:val="28"/>
        </w:rPr>
        <w:t>и</w:t>
      </w:r>
      <w:r w:rsidRPr="005372F6">
        <w:rPr>
          <w:sz w:val="28"/>
          <w:szCs w:val="28"/>
        </w:rPr>
        <w:t xml:space="preserve"> 5 Соглашения в национальные системы прослеживаемости государств-членов должны включать</w:t>
      </w:r>
      <w:r w:rsidR="00E32963" w:rsidRPr="005372F6">
        <w:rPr>
          <w:sz w:val="28"/>
          <w:szCs w:val="28"/>
        </w:rPr>
        <w:t xml:space="preserve">ся сведения из </w:t>
      </w:r>
      <w:r w:rsidRPr="005372F6">
        <w:rPr>
          <w:sz w:val="28"/>
          <w:szCs w:val="28"/>
        </w:rPr>
        <w:t>деклараци</w:t>
      </w:r>
      <w:r w:rsidR="00E32963" w:rsidRPr="005372F6">
        <w:rPr>
          <w:sz w:val="28"/>
          <w:szCs w:val="28"/>
        </w:rPr>
        <w:t>й</w:t>
      </w:r>
      <w:r w:rsidRPr="005372F6">
        <w:rPr>
          <w:sz w:val="28"/>
          <w:szCs w:val="28"/>
        </w:rPr>
        <w:t xml:space="preserve"> на</w:t>
      </w:r>
      <w:r w:rsidR="00ED27BF">
        <w:rPr>
          <w:sz w:val="28"/>
          <w:szCs w:val="28"/>
        </w:rPr>
        <w:t xml:space="preserve"> указанные</w:t>
      </w:r>
      <w:r w:rsidRPr="005372F6">
        <w:rPr>
          <w:sz w:val="28"/>
          <w:szCs w:val="28"/>
        </w:rPr>
        <w:t xml:space="preserve"> товары, корректировок декларации на товары, заявлени</w:t>
      </w:r>
      <w:r w:rsidR="00E32963" w:rsidRPr="005372F6">
        <w:rPr>
          <w:sz w:val="28"/>
          <w:szCs w:val="28"/>
        </w:rPr>
        <w:t>й</w:t>
      </w:r>
      <w:r w:rsidRPr="005372F6">
        <w:rPr>
          <w:sz w:val="28"/>
          <w:szCs w:val="28"/>
        </w:rPr>
        <w:t xml:space="preserve"> о выпуске товаров до подачи декларации на товары</w:t>
      </w:r>
      <w:r w:rsidR="00E32963" w:rsidRPr="005372F6">
        <w:rPr>
          <w:sz w:val="28"/>
          <w:szCs w:val="28"/>
        </w:rPr>
        <w:t xml:space="preserve">, </w:t>
      </w:r>
      <w:r w:rsidRPr="005372F6">
        <w:rPr>
          <w:sz w:val="28"/>
          <w:szCs w:val="28"/>
        </w:rPr>
        <w:t xml:space="preserve">сопроводительных документов, документов, подтверждающих возобновление прослеживаемости в соответствии </w:t>
      </w:r>
      <w:r w:rsidR="00456D29">
        <w:rPr>
          <w:sz w:val="28"/>
          <w:szCs w:val="28"/>
        </w:rPr>
        <w:br/>
      </w:r>
      <w:r w:rsidRPr="005372F6">
        <w:rPr>
          <w:sz w:val="28"/>
          <w:szCs w:val="28"/>
        </w:rPr>
        <w:t>с пунктом 5 статьи 6 Соглашения</w:t>
      </w:r>
      <w:r w:rsidR="00E32963" w:rsidRPr="005372F6">
        <w:rPr>
          <w:sz w:val="28"/>
          <w:szCs w:val="28"/>
        </w:rPr>
        <w:t>, и иных документов, указанных пункте 1 статьи 5.</w:t>
      </w:r>
    </w:p>
    <w:p w:rsidR="00FA6E4D" w:rsidRDefault="00A231CE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 xml:space="preserve">Указанные сведения должны будут представляться лицами государств-членов, осуществляющими оборот товаров, подлежащих </w:t>
      </w:r>
      <w:r w:rsidRPr="004D11C9">
        <w:rPr>
          <w:sz w:val="28"/>
          <w:szCs w:val="28"/>
        </w:rPr>
        <w:t>прослеживаемости</w:t>
      </w:r>
      <w:r w:rsidR="00643098" w:rsidRPr="004D11C9">
        <w:rPr>
          <w:sz w:val="28"/>
          <w:szCs w:val="28"/>
        </w:rPr>
        <w:t xml:space="preserve"> на постоянной основе</w:t>
      </w:r>
      <w:r w:rsidRPr="004D11C9">
        <w:rPr>
          <w:sz w:val="28"/>
          <w:szCs w:val="28"/>
        </w:rPr>
        <w:t xml:space="preserve">, в сроки, которые будут определены отдельным решением ЕЭК. </w:t>
      </w:r>
      <w:r w:rsidR="00FA6E4D" w:rsidRPr="004D11C9">
        <w:rPr>
          <w:sz w:val="28"/>
          <w:szCs w:val="28"/>
        </w:rPr>
        <w:t>П</w:t>
      </w:r>
      <w:r w:rsidR="00D02728" w:rsidRPr="004D11C9">
        <w:rPr>
          <w:sz w:val="28"/>
          <w:szCs w:val="28"/>
        </w:rPr>
        <w:t>роект решения Совета ЕЭК «О некоторых вопросах реализации механизма прослеживаемости товаров, ввезенных на таможенную территорию Евразийского экономического союза»</w:t>
      </w:r>
      <w:r w:rsidR="00201D70" w:rsidRPr="004D11C9">
        <w:rPr>
          <w:sz w:val="28"/>
          <w:szCs w:val="28"/>
        </w:rPr>
        <w:t xml:space="preserve"> </w:t>
      </w:r>
      <w:r w:rsidR="00FA6E4D" w:rsidRPr="004D11C9">
        <w:rPr>
          <w:sz w:val="28"/>
          <w:szCs w:val="28"/>
        </w:rPr>
        <w:t>(</w:t>
      </w:r>
      <w:r w:rsidR="00201D70" w:rsidRPr="004D11C9">
        <w:rPr>
          <w:sz w:val="28"/>
          <w:szCs w:val="28"/>
        </w:rPr>
        <w:t>находится на заключительной стадии разработки</w:t>
      </w:r>
      <w:r w:rsidR="00D02728" w:rsidRPr="004D11C9">
        <w:rPr>
          <w:sz w:val="28"/>
          <w:szCs w:val="28"/>
        </w:rPr>
        <w:t>)</w:t>
      </w:r>
      <w:r w:rsidR="00FA6E4D" w:rsidRPr="004D11C9">
        <w:rPr>
          <w:sz w:val="28"/>
          <w:szCs w:val="28"/>
        </w:rPr>
        <w:t xml:space="preserve"> предусматривает, что:</w:t>
      </w:r>
    </w:p>
    <w:p w:rsidR="00FA6E4D" w:rsidRPr="004D11C9" w:rsidRDefault="00FA6E4D" w:rsidP="00FA6E4D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4D11C9">
        <w:rPr>
          <w:sz w:val="28"/>
          <w:szCs w:val="28"/>
        </w:rPr>
        <w:t xml:space="preserve">сведения о товарах, подлежащих прослеживаемости на постоянной основе, фактически находящихся на таможенной территории ЕАЭС на дату вступления </w:t>
      </w:r>
      <w:r w:rsidR="004C6017" w:rsidRPr="004D11C9">
        <w:rPr>
          <w:sz w:val="28"/>
          <w:szCs w:val="28"/>
        </w:rPr>
        <w:br/>
      </w:r>
      <w:r w:rsidRPr="004D11C9">
        <w:rPr>
          <w:sz w:val="28"/>
          <w:szCs w:val="28"/>
        </w:rPr>
        <w:t xml:space="preserve">в силу решения Совета ЕЭК об утверждении перечня товаров, подлежат включению </w:t>
      </w:r>
      <w:r w:rsidRPr="004D11C9">
        <w:rPr>
          <w:sz w:val="28"/>
          <w:szCs w:val="28"/>
        </w:rPr>
        <w:lastRenderedPageBreak/>
        <w:t xml:space="preserve">в национальные системы прослеживаемости государств-членов в течение 1 месяца </w:t>
      </w:r>
      <w:r w:rsidR="004C6017" w:rsidRPr="004D11C9">
        <w:rPr>
          <w:sz w:val="28"/>
          <w:szCs w:val="28"/>
        </w:rPr>
        <w:br/>
      </w:r>
      <w:r w:rsidRPr="004D11C9">
        <w:rPr>
          <w:sz w:val="28"/>
          <w:szCs w:val="28"/>
        </w:rPr>
        <w:t>с даты вступления такого решения Совета ЕЭК в силу</w:t>
      </w:r>
      <w:r w:rsidR="004C6017" w:rsidRPr="004D11C9">
        <w:rPr>
          <w:sz w:val="28"/>
          <w:szCs w:val="28"/>
        </w:rPr>
        <w:t xml:space="preserve"> (у</w:t>
      </w:r>
      <w:r w:rsidRPr="004D11C9">
        <w:rPr>
          <w:sz w:val="28"/>
          <w:szCs w:val="28"/>
        </w:rPr>
        <w:t>казанные сведения представляются лицами государств-членов, осуществляющими оборот товаров, подлежащих прослеживаемости, в органы государственной власти либо организации государств-членов, определенные в соответствии с подпунктом 2 пункта 1 статьи 13 Соглашения, в электронном виде до осуществления операций, связанных с оборотом таких товаров, но не позднее вышеуказанного срока (представление данных сведений не требуется, если сведения о них уже содержатся в национальной системе прослеживаемости</w:t>
      </w:r>
      <w:r w:rsidR="004C6017" w:rsidRPr="004D11C9">
        <w:rPr>
          <w:sz w:val="28"/>
          <w:szCs w:val="28"/>
        </w:rPr>
        <w:t>)</w:t>
      </w:r>
      <w:r w:rsidRPr="004D11C9">
        <w:rPr>
          <w:sz w:val="28"/>
          <w:szCs w:val="28"/>
        </w:rPr>
        <w:t>);</w:t>
      </w:r>
    </w:p>
    <w:p w:rsidR="00FA6E4D" w:rsidRPr="00FA6E4D" w:rsidRDefault="00FA6E4D" w:rsidP="00FA6E4D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4D11C9">
        <w:rPr>
          <w:sz w:val="28"/>
          <w:szCs w:val="28"/>
        </w:rPr>
        <w:t>сведения из документов, указанных в подпунктах 1 и 3 пункта 1 статьи 5 Соглашения, включаются в национальную систему прослеживаемости не позднее трех дней с даты выпуска товаров, подлежащих прослеживаемости, регистрации корректировки декларации на товары или составления сопроводительного документа.</w:t>
      </w:r>
    </w:p>
    <w:p w:rsidR="00C24DC7" w:rsidRPr="005372F6" w:rsidRDefault="00C24DC7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C20A3E" w:rsidP="0006151C">
      <w:pPr>
        <w:pStyle w:val="2"/>
        <w:widowControl/>
        <w:tabs>
          <w:tab w:val="left" w:pos="0"/>
        </w:tabs>
        <w:ind w:left="0" w:firstLine="709"/>
      </w:pPr>
      <w:r w:rsidRPr="005372F6">
        <w:t>6. </w:t>
      </w:r>
      <w:r w:rsidR="00965072" w:rsidRPr="005372F6">
        <w:t xml:space="preserve">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</w:t>
      </w:r>
      <w:r w:rsidR="008D3C66" w:rsidRPr="005372F6">
        <w:t>проблемой)</w:t>
      </w:r>
      <w:r w:rsidR="005372F6">
        <w:t>.</w:t>
      </w:r>
    </w:p>
    <w:p w:rsidR="0006151C" w:rsidRPr="00020531" w:rsidRDefault="0006151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020531">
        <w:rPr>
          <w:sz w:val="28"/>
          <w:szCs w:val="28"/>
        </w:rPr>
        <w:t xml:space="preserve">Достижение цели регулирования обеспечивается посредством установления четкой области применения норм Соглашения. </w:t>
      </w:r>
    </w:p>
    <w:p w:rsidR="009D0F8D" w:rsidRPr="005372F6" w:rsidRDefault="009D0F8D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C20A3E" w:rsidP="0006151C">
      <w:pPr>
        <w:pStyle w:val="2"/>
        <w:widowControl/>
        <w:tabs>
          <w:tab w:val="left" w:pos="0"/>
        </w:tabs>
        <w:ind w:left="0" w:firstLine="709"/>
      </w:pPr>
      <w:r w:rsidRPr="005372F6">
        <w:t>7. </w:t>
      </w:r>
      <w:r w:rsidR="00965072" w:rsidRPr="005372F6">
        <w:t>Сведения о рассмотренных альтернативах</w:t>
      </w:r>
      <w:r w:rsidR="005372F6">
        <w:t xml:space="preserve"> </w:t>
      </w:r>
      <w:r w:rsidR="00965072" w:rsidRPr="005372F6">
        <w:t xml:space="preserve">предлагаемому </w:t>
      </w:r>
      <w:r w:rsidR="008D3C66" w:rsidRPr="005372F6">
        <w:t>регулированию</w:t>
      </w:r>
      <w:r w:rsidR="005372F6">
        <w:t>.</w:t>
      </w:r>
    </w:p>
    <w:p w:rsidR="00E476BE" w:rsidRPr="00117307" w:rsidRDefault="005D50AF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Пилотный проект по внедрению механизма прослеживаемости товаров, ввезенных на таможенную территорию ЕАЭС</w:t>
      </w:r>
      <w:r w:rsidR="00B11186" w:rsidRPr="005372F6">
        <w:rPr>
          <w:sz w:val="28"/>
          <w:szCs w:val="28"/>
        </w:rPr>
        <w:t xml:space="preserve"> (проведение пилотного проекта предусмотрено пунктом 2 статьи 14 Соглашения)</w:t>
      </w:r>
      <w:r w:rsidR="00FA6E4D">
        <w:rPr>
          <w:sz w:val="28"/>
          <w:szCs w:val="28"/>
        </w:rPr>
        <w:t>,</w:t>
      </w:r>
      <w:r w:rsidRPr="005372F6">
        <w:rPr>
          <w:sz w:val="28"/>
          <w:szCs w:val="28"/>
        </w:rPr>
        <w:t xml:space="preserve"> </w:t>
      </w:r>
      <w:r w:rsidR="00B11186" w:rsidRPr="005372F6">
        <w:rPr>
          <w:sz w:val="28"/>
          <w:szCs w:val="28"/>
        </w:rPr>
        <w:t xml:space="preserve">проводился </w:t>
      </w:r>
      <w:r w:rsidRPr="005372F6">
        <w:rPr>
          <w:sz w:val="28"/>
          <w:szCs w:val="28"/>
        </w:rPr>
        <w:t xml:space="preserve">в </w:t>
      </w:r>
      <w:r w:rsidR="00B11186" w:rsidRPr="005372F6">
        <w:rPr>
          <w:sz w:val="28"/>
          <w:szCs w:val="28"/>
        </w:rPr>
        <w:t xml:space="preserve">отношении товаров </w:t>
      </w:r>
      <w:r w:rsidR="00B11186" w:rsidRPr="00117307">
        <w:rPr>
          <w:sz w:val="28"/>
          <w:szCs w:val="28"/>
        </w:rPr>
        <w:t>«холодильники и морозильники бытовые»</w:t>
      </w:r>
      <w:r w:rsidRPr="00117307">
        <w:rPr>
          <w:sz w:val="28"/>
          <w:szCs w:val="28"/>
        </w:rPr>
        <w:t xml:space="preserve"> </w:t>
      </w:r>
      <w:r w:rsidR="00B11186" w:rsidRPr="00117307">
        <w:rPr>
          <w:sz w:val="28"/>
          <w:szCs w:val="28"/>
        </w:rPr>
        <w:t>(</w:t>
      </w:r>
      <w:r w:rsidRPr="00117307">
        <w:rPr>
          <w:sz w:val="28"/>
          <w:szCs w:val="28"/>
        </w:rPr>
        <w:t>Решение</w:t>
      </w:r>
      <w:r w:rsidR="00B11186" w:rsidRPr="00117307">
        <w:rPr>
          <w:sz w:val="28"/>
          <w:szCs w:val="28"/>
        </w:rPr>
        <w:t xml:space="preserve"> Совета ЕЭК от 21 января 2022 г. № 2).</w:t>
      </w:r>
    </w:p>
    <w:p w:rsidR="0006151C" w:rsidRPr="00117307" w:rsidRDefault="0006151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117307">
        <w:rPr>
          <w:sz w:val="28"/>
          <w:szCs w:val="28"/>
        </w:rPr>
        <w:t>В качестве альтернативных вариантов предлагаемому регули</w:t>
      </w:r>
      <w:r w:rsidR="00293ACB" w:rsidRPr="00117307">
        <w:rPr>
          <w:sz w:val="28"/>
          <w:szCs w:val="28"/>
        </w:rPr>
        <w:t>рованию могут быть рассмотрены:</w:t>
      </w:r>
    </w:p>
    <w:p w:rsidR="00117307" w:rsidRPr="00117307" w:rsidRDefault="00117307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117307">
        <w:rPr>
          <w:sz w:val="28"/>
          <w:szCs w:val="28"/>
        </w:rPr>
        <w:t xml:space="preserve">сохранение действующего регулирования без установления решением Совета ЕЭК перечня товаров, подлежащих </w:t>
      </w:r>
      <w:r w:rsidRPr="004D11C9">
        <w:rPr>
          <w:sz w:val="28"/>
          <w:szCs w:val="28"/>
        </w:rPr>
        <w:t>прослеживаемости</w:t>
      </w:r>
      <w:r w:rsidR="00FA6E4D" w:rsidRPr="004D11C9">
        <w:rPr>
          <w:sz w:val="28"/>
          <w:szCs w:val="28"/>
        </w:rPr>
        <w:t xml:space="preserve"> на постоянной основе</w:t>
      </w:r>
      <w:r w:rsidRPr="004D11C9">
        <w:rPr>
          <w:sz w:val="28"/>
          <w:szCs w:val="28"/>
        </w:rPr>
        <w:t>;</w:t>
      </w:r>
    </w:p>
    <w:p w:rsidR="00293ACB" w:rsidRPr="00117307" w:rsidRDefault="00293ACB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117307">
        <w:rPr>
          <w:sz w:val="28"/>
          <w:szCs w:val="28"/>
        </w:rPr>
        <w:t>осуществление прослеживаемости товаров, в отношении которых осуществлялся пилотный проект</w:t>
      </w:r>
      <w:r w:rsidR="0042751B">
        <w:rPr>
          <w:sz w:val="28"/>
          <w:szCs w:val="28"/>
        </w:rPr>
        <w:t>.</w:t>
      </w:r>
    </w:p>
    <w:p w:rsidR="007D3F8B" w:rsidRDefault="0006151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117307">
        <w:rPr>
          <w:sz w:val="28"/>
          <w:szCs w:val="28"/>
        </w:rPr>
        <w:t>Вместе с тем указанные альтернативные варианты не являются оптимальны</w:t>
      </w:r>
      <w:r w:rsidR="0081529D">
        <w:rPr>
          <w:sz w:val="28"/>
          <w:szCs w:val="28"/>
        </w:rPr>
        <w:t>ми, поскольку</w:t>
      </w:r>
      <w:r w:rsidR="007D3F8B">
        <w:rPr>
          <w:sz w:val="28"/>
          <w:szCs w:val="28"/>
        </w:rPr>
        <w:t xml:space="preserve"> первый вариант прямо нарушает нормы Соглашения, второй вариант не позволяет </w:t>
      </w:r>
      <w:r w:rsidR="007D3F8B" w:rsidRPr="004D11C9">
        <w:rPr>
          <w:sz w:val="28"/>
          <w:szCs w:val="28"/>
        </w:rPr>
        <w:t>достичь целей Соглашения по</w:t>
      </w:r>
      <w:r w:rsidR="0042751B" w:rsidRPr="004D11C9">
        <w:rPr>
          <w:sz w:val="28"/>
          <w:szCs w:val="28"/>
        </w:rPr>
        <w:t xml:space="preserve"> </w:t>
      </w:r>
      <w:r w:rsidR="004D11C9" w:rsidRPr="004D11C9">
        <w:rPr>
          <w:sz w:val="28"/>
          <w:szCs w:val="28"/>
        </w:rPr>
        <w:t>обеспечению законности</w:t>
      </w:r>
      <w:r w:rsidR="0042751B" w:rsidRPr="004D11C9">
        <w:rPr>
          <w:sz w:val="28"/>
          <w:szCs w:val="28"/>
        </w:rPr>
        <w:t xml:space="preserve"> оборота товаров и</w:t>
      </w:r>
      <w:r w:rsidR="007D3F8B" w:rsidRPr="004D11C9">
        <w:rPr>
          <w:sz w:val="28"/>
          <w:szCs w:val="28"/>
        </w:rPr>
        <w:t xml:space="preserve"> </w:t>
      </w:r>
      <w:r w:rsidR="00742202" w:rsidRPr="004D11C9">
        <w:rPr>
          <w:sz w:val="28"/>
          <w:szCs w:val="28"/>
        </w:rPr>
        <w:t>минимизации</w:t>
      </w:r>
      <w:r w:rsidR="0042751B" w:rsidRPr="004D11C9">
        <w:rPr>
          <w:sz w:val="28"/>
          <w:szCs w:val="28"/>
        </w:rPr>
        <w:t xml:space="preserve"> использования схем уклонения от уплаты таможенных и налоговых платежей.</w:t>
      </w:r>
    </w:p>
    <w:p w:rsidR="003E2F07" w:rsidRDefault="003E2F07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C20A3E" w:rsidRPr="005372F6" w:rsidRDefault="00C20A3E" w:rsidP="0006151C">
      <w:pPr>
        <w:pStyle w:val="2"/>
        <w:widowControl/>
        <w:tabs>
          <w:tab w:val="left" w:pos="0"/>
        </w:tabs>
        <w:ind w:left="0" w:firstLine="709"/>
      </w:pPr>
      <w:r w:rsidRPr="005372F6">
        <w:t>8. </w:t>
      </w:r>
      <w:r w:rsidR="00965072" w:rsidRPr="005372F6">
        <w:t>Нормативно-правовое основание</w:t>
      </w:r>
      <w:r w:rsidR="005372F6">
        <w:t xml:space="preserve"> </w:t>
      </w:r>
      <w:r w:rsidR="00965072" w:rsidRPr="005372F6">
        <w:t xml:space="preserve">для принятия проекта решения </w:t>
      </w:r>
      <w:r w:rsidR="008D3C66" w:rsidRPr="005372F6">
        <w:t>ЕЭК</w:t>
      </w:r>
      <w:r w:rsidR="005372F6">
        <w:t>.</w:t>
      </w:r>
    </w:p>
    <w:p w:rsidR="00E476BE" w:rsidRPr="005372F6" w:rsidRDefault="00E476BE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Необходимость принятия решения Совета ЕЭК определена пунктом 2 статьи 2 Соглашения.</w:t>
      </w:r>
    </w:p>
    <w:p w:rsidR="00054959" w:rsidRPr="005372F6" w:rsidRDefault="00054959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Полномочия Совета ЕЭК на принятие указанного решения определены пунктом 137 приложения № 1 к Регламенту работы ЕЭК, утвержденному Решением Высшего Евразийского экономического совета от 23 декабря 2014 г. № 98.</w:t>
      </w:r>
    </w:p>
    <w:p w:rsidR="00054959" w:rsidRPr="005372F6" w:rsidRDefault="00054959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965072" w:rsidP="0006151C">
      <w:pPr>
        <w:pStyle w:val="2"/>
        <w:widowControl/>
        <w:tabs>
          <w:tab w:val="left" w:pos="0"/>
        </w:tabs>
        <w:ind w:left="0" w:firstLine="709"/>
      </w:pPr>
      <w:r w:rsidRPr="005372F6">
        <w:lastRenderedPageBreak/>
        <w:t> </w:t>
      </w:r>
      <w:r w:rsidR="00C20A3E" w:rsidRPr="005372F6">
        <w:t>9. </w:t>
      </w:r>
      <w:r w:rsidRPr="005372F6">
        <w:t xml:space="preserve">Сфера полномочий ЕЭК, к которой относится проект решения </w:t>
      </w:r>
      <w:r w:rsidR="008D3C66" w:rsidRPr="005372F6">
        <w:t>ЕЭК</w:t>
      </w:r>
      <w:r w:rsidR="005372F6">
        <w:t>.</w:t>
      </w:r>
    </w:p>
    <w:p w:rsidR="00F6321F" w:rsidRPr="005372F6" w:rsidRDefault="00F6321F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Сфера компетенции ЕЭК в соответствии с пунктом 3 Положения о ЕЭК (приложение № 1 к Договору о ЕАЭС) – иные сферы, определенные международными договорами в рамках ЕАЭС.</w:t>
      </w:r>
    </w:p>
    <w:p w:rsidR="00F6321F" w:rsidRPr="005372F6" w:rsidRDefault="00F6321F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rFonts w:eastAsiaTheme="minorHAnsi"/>
          <w:sz w:val="28"/>
          <w:szCs w:val="28"/>
        </w:rPr>
        <w:t xml:space="preserve">Предмет правового регулирования проекта решения Совета ЕЭК – определение перечня товаров, ввезенных на таможенную территорию ЕАЭС, в отношении которых осуществляется </w:t>
      </w:r>
      <w:r w:rsidRPr="00195763">
        <w:rPr>
          <w:rFonts w:eastAsiaTheme="minorHAnsi"/>
          <w:sz w:val="28"/>
          <w:szCs w:val="28"/>
        </w:rPr>
        <w:t>прослеживаемость</w:t>
      </w:r>
      <w:r w:rsidR="00742202" w:rsidRPr="00195763">
        <w:rPr>
          <w:rFonts w:eastAsiaTheme="minorHAnsi"/>
          <w:sz w:val="28"/>
          <w:szCs w:val="28"/>
        </w:rPr>
        <w:t xml:space="preserve"> на постоянной основе</w:t>
      </w:r>
      <w:r w:rsidR="00054959" w:rsidRPr="00195763">
        <w:rPr>
          <w:rFonts w:eastAsiaTheme="minorHAnsi"/>
          <w:sz w:val="28"/>
          <w:szCs w:val="28"/>
        </w:rPr>
        <w:t>.</w:t>
      </w:r>
    </w:p>
    <w:p w:rsidR="00F6321F" w:rsidRPr="005372F6" w:rsidRDefault="00F6321F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C20A3E" w:rsidP="0006151C">
      <w:pPr>
        <w:pStyle w:val="2"/>
        <w:widowControl/>
        <w:tabs>
          <w:tab w:val="left" w:pos="0"/>
        </w:tabs>
        <w:ind w:left="0" w:firstLine="709"/>
      </w:pPr>
      <w:r w:rsidRPr="005372F6">
        <w:t>10. </w:t>
      </w:r>
      <w:r w:rsidR="00965072" w:rsidRPr="005372F6">
        <w:t xml:space="preserve"> Финансово-экономические последствия принятия проекта решения ЕЭК для субъектов предпринимательской </w:t>
      </w:r>
      <w:r w:rsidR="008D3C66" w:rsidRPr="005372F6">
        <w:t>деятельности</w:t>
      </w:r>
      <w:r w:rsidR="005372F6">
        <w:t>.</w:t>
      </w:r>
    </w:p>
    <w:p w:rsidR="00081547" w:rsidRPr="00520C86" w:rsidRDefault="00081547" w:rsidP="00081547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20C86">
        <w:rPr>
          <w:sz w:val="28"/>
          <w:szCs w:val="28"/>
        </w:rPr>
        <w:t xml:space="preserve">Для субъектов предпринимательской деятельности принятие решения Совета ЕЭК может повлечь дополнительные издержки, связанные с необходимостью выполнения требований и процедур, предусмотренных Соглашением, при ввозе и перемещении </w:t>
      </w:r>
      <w:r w:rsidR="0007569C">
        <w:rPr>
          <w:sz w:val="28"/>
          <w:szCs w:val="28"/>
        </w:rPr>
        <w:t xml:space="preserve">в рамках ЕАЭС </w:t>
      </w:r>
      <w:r w:rsidRPr="00520C86">
        <w:rPr>
          <w:sz w:val="28"/>
          <w:szCs w:val="28"/>
        </w:rPr>
        <w:t xml:space="preserve">товаров, включенных в утверждаемый решением Совета ЕЭК перечень. </w:t>
      </w:r>
    </w:p>
    <w:p w:rsidR="00A45468" w:rsidRDefault="00520C86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провести п</w:t>
      </w:r>
      <w:r w:rsidR="00C3524D" w:rsidRPr="00520C86">
        <w:rPr>
          <w:sz w:val="28"/>
          <w:szCs w:val="28"/>
        </w:rPr>
        <w:t>римерную оценк</w:t>
      </w:r>
      <w:r w:rsidR="00191349" w:rsidRPr="00520C86">
        <w:rPr>
          <w:sz w:val="28"/>
          <w:szCs w:val="28"/>
        </w:rPr>
        <w:t>у</w:t>
      </w:r>
      <w:r w:rsidR="00C3524D" w:rsidRPr="00520C86">
        <w:rPr>
          <w:sz w:val="28"/>
          <w:szCs w:val="28"/>
        </w:rPr>
        <w:t xml:space="preserve"> совокупных расходов субъектов предпринимательской </w:t>
      </w:r>
      <w:r w:rsidR="00C3524D" w:rsidRPr="005372F6">
        <w:rPr>
          <w:sz w:val="28"/>
          <w:szCs w:val="28"/>
        </w:rPr>
        <w:t xml:space="preserve">деятельности не </w:t>
      </w:r>
      <w:r w:rsidR="00696E87" w:rsidRPr="005372F6">
        <w:rPr>
          <w:sz w:val="28"/>
          <w:szCs w:val="28"/>
        </w:rPr>
        <w:t>представилось</w:t>
      </w:r>
      <w:r w:rsidR="00C3524D" w:rsidRPr="005372F6">
        <w:rPr>
          <w:sz w:val="28"/>
          <w:szCs w:val="28"/>
        </w:rPr>
        <w:t xml:space="preserve"> возможным ввиду отсутствия статистических</w:t>
      </w:r>
      <w:r w:rsidR="00696E87" w:rsidRPr="005372F6">
        <w:rPr>
          <w:sz w:val="28"/>
          <w:szCs w:val="28"/>
        </w:rPr>
        <w:t xml:space="preserve"> (иных)</w:t>
      </w:r>
      <w:r w:rsidR="00C3524D" w:rsidRPr="005372F6">
        <w:rPr>
          <w:sz w:val="28"/>
          <w:szCs w:val="28"/>
        </w:rPr>
        <w:t xml:space="preserve"> данных </w:t>
      </w:r>
      <w:r w:rsidR="00696E87" w:rsidRPr="005372F6">
        <w:rPr>
          <w:sz w:val="28"/>
          <w:szCs w:val="28"/>
        </w:rPr>
        <w:t>о</w:t>
      </w:r>
      <w:r w:rsidR="008D337C" w:rsidRPr="005372F6">
        <w:rPr>
          <w:sz w:val="28"/>
          <w:szCs w:val="28"/>
        </w:rPr>
        <w:t xml:space="preserve"> соответствующих</w:t>
      </w:r>
      <w:r w:rsidR="00696E87" w:rsidRPr="005372F6">
        <w:rPr>
          <w:sz w:val="28"/>
          <w:szCs w:val="28"/>
        </w:rPr>
        <w:t xml:space="preserve"> расходах</w:t>
      </w:r>
      <w:r w:rsidR="008D337C" w:rsidRPr="005372F6">
        <w:rPr>
          <w:sz w:val="28"/>
          <w:szCs w:val="28"/>
        </w:rPr>
        <w:t>.</w:t>
      </w:r>
    </w:p>
    <w:p w:rsidR="0006151C" w:rsidRPr="005372F6" w:rsidRDefault="0006151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2F6B33" w:rsidP="0006151C">
      <w:pPr>
        <w:pStyle w:val="2"/>
        <w:widowControl/>
        <w:tabs>
          <w:tab w:val="left" w:pos="0"/>
        </w:tabs>
        <w:ind w:left="0" w:firstLine="709"/>
      </w:pPr>
      <w:r w:rsidRPr="005372F6">
        <w:t>11. </w:t>
      </w:r>
      <w:r w:rsidR="00965072" w:rsidRPr="005372F6">
        <w:t xml:space="preserve">Предполагаемые сроки вступления проекта решения ЕЭК в </w:t>
      </w:r>
      <w:r w:rsidR="000A4A50" w:rsidRPr="005372F6">
        <w:t>силу</w:t>
      </w:r>
      <w:r w:rsidR="005372F6">
        <w:t>.</w:t>
      </w:r>
    </w:p>
    <w:p w:rsidR="008264A7" w:rsidRDefault="00A45468" w:rsidP="00531472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Решение Совета ЕЭК вступает в силу по истечении 30 календарных дней с даты его официального опубликования, но не ранее даты вступления в силу решения Евразийского межправительственного совета о начале функционирования механизма прослеживаемости на постоянной основе</w:t>
      </w:r>
      <w:r w:rsidR="00531472">
        <w:rPr>
          <w:sz w:val="28"/>
          <w:szCs w:val="28"/>
        </w:rPr>
        <w:t xml:space="preserve"> (</w:t>
      </w:r>
      <w:r w:rsidR="00527D2B">
        <w:rPr>
          <w:sz w:val="28"/>
          <w:szCs w:val="28"/>
        </w:rPr>
        <w:t xml:space="preserve">согласно </w:t>
      </w:r>
      <w:r w:rsidR="00531472" w:rsidRPr="00531472">
        <w:rPr>
          <w:sz w:val="28"/>
          <w:szCs w:val="28"/>
        </w:rPr>
        <w:t>проект</w:t>
      </w:r>
      <w:r w:rsidR="00527D2B">
        <w:rPr>
          <w:sz w:val="28"/>
          <w:szCs w:val="28"/>
        </w:rPr>
        <w:t>у</w:t>
      </w:r>
      <w:r w:rsidR="00531472">
        <w:rPr>
          <w:sz w:val="28"/>
          <w:szCs w:val="28"/>
        </w:rPr>
        <w:t xml:space="preserve"> </w:t>
      </w:r>
      <w:r w:rsidR="00531472" w:rsidRPr="00531472">
        <w:rPr>
          <w:sz w:val="28"/>
          <w:szCs w:val="28"/>
        </w:rPr>
        <w:t xml:space="preserve">решения Евразийского межправительственного совета «О начале функционирования механизма прослеживаемости товаров, ввезенных на таможенную территорию ЕАЭС» </w:t>
      </w:r>
      <w:r w:rsidR="00BA66E4">
        <w:rPr>
          <w:sz w:val="28"/>
          <w:szCs w:val="28"/>
        </w:rPr>
        <w:t xml:space="preserve">его вступление в силу </w:t>
      </w:r>
      <w:r w:rsidR="00527D2B">
        <w:rPr>
          <w:sz w:val="28"/>
          <w:szCs w:val="28"/>
        </w:rPr>
        <w:t xml:space="preserve">предполагается </w:t>
      </w:r>
      <w:r w:rsidR="00531472" w:rsidRPr="00531472">
        <w:rPr>
          <w:sz w:val="28"/>
          <w:szCs w:val="28"/>
        </w:rPr>
        <w:t xml:space="preserve">по истечении </w:t>
      </w:r>
      <w:r w:rsidR="00581EDC">
        <w:rPr>
          <w:sz w:val="28"/>
          <w:szCs w:val="28"/>
        </w:rPr>
        <w:t>9</w:t>
      </w:r>
      <w:r w:rsidR="00531472" w:rsidRPr="00531472">
        <w:rPr>
          <w:sz w:val="28"/>
          <w:szCs w:val="28"/>
        </w:rPr>
        <w:t xml:space="preserve"> месяцев с даты </w:t>
      </w:r>
      <w:r w:rsidR="00BA66E4">
        <w:rPr>
          <w:sz w:val="28"/>
          <w:szCs w:val="28"/>
        </w:rPr>
        <w:t xml:space="preserve">его </w:t>
      </w:r>
      <w:r w:rsidR="00531472" w:rsidRPr="00531472">
        <w:rPr>
          <w:sz w:val="28"/>
          <w:szCs w:val="28"/>
        </w:rPr>
        <w:t>официального опубликования, но не ранее 1-го числа месяца, следующего за указанной датой</w:t>
      </w:r>
      <w:r w:rsidR="00531472">
        <w:rPr>
          <w:sz w:val="28"/>
          <w:szCs w:val="28"/>
        </w:rPr>
        <w:t>)</w:t>
      </w:r>
      <w:r w:rsidR="00531472" w:rsidRPr="00531472">
        <w:rPr>
          <w:sz w:val="28"/>
          <w:szCs w:val="28"/>
        </w:rPr>
        <w:t>.</w:t>
      </w:r>
    </w:p>
    <w:p w:rsidR="00531472" w:rsidRPr="005372F6" w:rsidRDefault="00531472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2F6B33" w:rsidP="0006151C">
      <w:pPr>
        <w:pStyle w:val="2"/>
        <w:widowControl/>
        <w:tabs>
          <w:tab w:val="left" w:pos="0"/>
        </w:tabs>
        <w:ind w:left="0" w:firstLine="709"/>
      </w:pPr>
      <w:r w:rsidRPr="005372F6">
        <w:t>12. </w:t>
      </w:r>
      <w:r w:rsidR="00965072" w:rsidRPr="005372F6">
        <w:t xml:space="preserve">Ожидаемый результат </w:t>
      </w:r>
      <w:r w:rsidR="00176323" w:rsidRPr="005372F6">
        <w:t>регулирования</w:t>
      </w:r>
      <w:r w:rsidR="005372F6">
        <w:t>.</w:t>
      </w:r>
    </w:p>
    <w:p w:rsidR="00871989" w:rsidRPr="005372F6" w:rsidRDefault="00871989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Принятие решения Совета ЕЭК позволит:</w:t>
      </w:r>
    </w:p>
    <w:p w:rsidR="00871989" w:rsidRPr="005372F6" w:rsidRDefault="00871989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минимизировать использование различных схем уклонения от уплаты таможенных и налоговых платежей при перемещении между государствами-членами подлежащих прослеживае</w:t>
      </w:r>
      <w:r w:rsidR="00ED2100" w:rsidRPr="005372F6">
        <w:rPr>
          <w:sz w:val="28"/>
          <w:szCs w:val="28"/>
        </w:rPr>
        <w:t>м</w:t>
      </w:r>
      <w:r w:rsidRPr="005372F6">
        <w:rPr>
          <w:sz w:val="28"/>
          <w:szCs w:val="28"/>
        </w:rPr>
        <w:t>ости товаров;</w:t>
      </w:r>
    </w:p>
    <w:p w:rsidR="00871989" w:rsidRDefault="00871989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обеспеч</w:t>
      </w:r>
      <w:r w:rsidR="00ED2100" w:rsidRPr="005372F6">
        <w:rPr>
          <w:sz w:val="28"/>
          <w:szCs w:val="28"/>
        </w:rPr>
        <w:t>ить</w:t>
      </w:r>
      <w:r w:rsidRPr="005372F6">
        <w:rPr>
          <w:sz w:val="28"/>
          <w:szCs w:val="28"/>
        </w:rPr>
        <w:t xml:space="preserve"> </w:t>
      </w:r>
      <w:r w:rsidR="00ED2100" w:rsidRPr="005372F6">
        <w:rPr>
          <w:sz w:val="28"/>
          <w:szCs w:val="28"/>
        </w:rPr>
        <w:t xml:space="preserve">со стороны соответствующих государственных органов </w:t>
      </w:r>
      <w:r w:rsidRPr="005372F6">
        <w:rPr>
          <w:sz w:val="28"/>
          <w:szCs w:val="28"/>
        </w:rPr>
        <w:t>контрол</w:t>
      </w:r>
      <w:r w:rsidR="00ED2100" w:rsidRPr="005372F6">
        <w:rPr>
          <w:sz w:val="28"/>
          <w:szCs w:val="28"/>
        </w:rPr>
        <w:t>ь</w:t>
      </w:r>
      <w:r w:rsidRPr="005372F6">
        <w:rPr>
          <w:sz w:val="28"/>
          <w:szCs w:val="28"/>
        </w:rPr>
        <w:t xml:space="preserve"> за операциями, связанными с оборотом </w:t>
      </w:r>
      <w:r w:rsidR="00ED2100" w:rsidRPr="005372F6">
        <w:rPr>
          <w:sz w:val="28"/>
          <w:szCs w:val="28"/>
        </w:rPr>
        <w:t xml:space="preserve">таких </w:t>
      </w:r>
      <w:r w:rsidRPr="005372F6">
        <w:rPr>
          <w:sz w:val="28"/>
          <w:szCs w:val="28"/>
        </w:rPr>
        <w:t>товаров.</w:t>
      </w:r>
    </w:p>
    <w:p w:rsidR="00F6321F" w:rsidRPr="005372F6" w:rsidRDefault="00F6321F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2F6B33" w:rsidP="0006151C">
      <w:pPr>
        <w:pStyle w:val="2"/>
        <w:widowControl/>
        <w:tabs>
          <w:tab w:val="left" w:pos="0"/>
        </w:tabs>
        <w:ind w:left="0" w:firstLine="709"/>
      </w:pPr>
      <w:r w:rsidRPr="005372F6">
        <w:t>13. </w:t>
      </w:r>
      <w:r w:rsidR="00965072" w:rsidRPr="005372F6">
        <w:t xml:space="preserve">Описание опыта государств – членов ЕАЭС и международного опыта регулирования отношений, являющихся предметом проекта решения ЕЭК </w:t>
      </w:r>
      <w:r w:rsidRPr="005372F6">
        <w:br/>
      </w:r>
      <w:r w:rsidR="00965072" w:rsidRPr="005372F6">
        <w:t xml:space="preserve">(с обоснованием его прогрессивности и </w:t>
      </w:r>
      <w:r w:rsidR="008D3C66" w:rsidRPr="005372F6">
        <w:t>применимости)</w:t>
      </w:r>
    </w:p>
    <w:p w:rsidR="00927E80" w:rsidRPr="005372F6" w:rsidRDefault="00927E80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 xml:space="preserve">В рамках реализации Соглашения государствами-членами </w:t>
      </w:r>
      <w:r w:rsidR="00BA429C" w:rsidRPr="005372F6">
        <w:rPr>
          <w:sz w:val="28"/>
          <w:szCs w:val="28"/>
        </w:rPr>
        <w:t>созданы национальные системы прослеживаемости, определены:</w:t>
      </w:r>
    </w:p>
    <w:p w:rsidR="00BA429C" w:rsidRPr="005372F6" w:rsidRDefault="00BA429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органы, обеспечивающие координацию реализации механизма прослеживаемости и органы, непосредственно участвующие в реализации механизма прослеживаемости;</w:t>
      </w:r>
    </w:p>
    <w:p w:rsidR="00BA429C" w:rsidRPr="005372F6" w:rsidRDefault="00BA429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lastRenderedPageBreak/>
        <w:t xml:space="preserve">сопроводительные документы, сведения из которых включаются </w:t>
      </w:r>
      <w:r w:rsidR="0007569C">
        <w:rPr>
          <w:sz w:val="28"/>
          <w:szCs w:val="28"/>
        </w:rPr>
        <w:br/>
      </w:r>
      <w:r w:rsidRPr="005372F6">
        <w:rPr>
          <w:sz w:val="28"/>
          <w:szCs w:val="28"/>
        </w:rPr>
        <w:t>в национальную систему прослеживаемости.</w:t>
      </w:r>
    </w:p>
    <w:p w:rsidR="00BA429C" w:rsidRPr="005372F6" w:rsidRDefault="00BA429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 xml:space="preserve">Запуск механизма прослеживаемости осуществляется с учетом итогов реализации пилотного проекта (проведение </w:t>
      </w:r>
      <w:r w:rsidR="00D07FF1" w:rsidRPr="005372F6">
        <w:rPr>
          <w:sz w:val="28"/>
          <w:szCs w:val="28"/>
        </w:rPr>
        <w:t>которого</w:t>
      </w:r>
      <w:r w:rsidRPr="005372F6">
        <w:rPr>
          <w:sz w:val="28"/>
          <w:szCs w:val="28"/>
        </w:rPr>
        <w:t xml:space="preserve"> предусмотрено пунктом 2 статьи 14 Соглашения</w:t>
      </w:r>
      <w:r w:rsidR="00015B57" w:rsidRPr="005372F6">
        <w:rPr>
          <w:sz w:val="28"/>
          <w:szCs w:val="28"/>
        </w:rPr>
        <w:t xml:space="preserve">, проводился в отношении товаров «холодильники </w:t>
      </w:r>
      <w:r w:rsidR="0007569C">
        <w:rPr>
          <w:sz w:val="28"/>
          <w:szCs w:val="28"/>
        </w:rPr>
        <w:br/>
      </w:r>
      <w:r w:rsidR="00015B57" w:rsidRPr="005372F6">
        <w:rPr>
          <w:sz w:val="28"/>
          <w:szCs w:val="28"/>
        </w:rPr>
        <w:t>и морозильники бытовые»</w:t>
      </w:r>
      <w:r w:rsidRPr="005372F6">
        <w:rPr>
          <w:sz w:val="28"/>
          <w:szCs w:val="28"/>
        </w:rPr>
        <w:t xml:space="preserve">), который первоначально планировалось провести </w:t>
      </w:r>
      <w:r w:rsidR="0007569C">
        <w:rPr>
          <w:sz w:val="28"/>
          <w:szCs w:val="28"/>
        </w:rPr>
        <w:br/>
      </w:r>
      <w:r w:rsidRPr="005372F6">
        <w:rPr>
          <w:sz w:val="28"/>
          <w:szCs w:val="28"/>
        </w:rPr>
        <w:t xml:space="preserve">с 1 июля 2022 г. по 31 марта 2023 г. Вместе с тем в связи с трудностями, с которыми столкнулись государства-члены при запуске национальных систем прослеживаемости, подключении к общему процессу интегрированной информационной системы ЕАЭС, срок реализации пилотного проекта несколько раз продлевался, последний раз – по 30 июня 2025 г. </w:t>
      </w:r>
    </w:p>
    <w:p w:rsidR="00D07FF1" w:rsidRPr="005372F6" w:rsidRDefault="00D07FF1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Учитывая итоги реализации пилотного проекта государствами-членами была отмечена возможность принятия решения о начале функционирования механизма прослеживаемости товаров, ввезенных на таможенную территорию ЕАЭС, на постоянной основе. При этом Кыргызской Стороной отмечено, что в настоящее время в Кыргызской Республике проводится работа по перестройке национальной системы прослеживаемости и для ее завершения потребуется еще около года.</w:t>
      </w:r>
    </w:p>
    <w:p w:rsidR="00D07FF1" w:rsidRPr="005372F6" w:rsidRDefault="00D07FF1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 xml:space="preserve">В этой связи проект решения Евразийского межправительственного совета </w:t>
      </w:r>
      <w:r w:rsidRPr="005372F6">
        <w:rPr>
          <w:sz w:val="28"/>
          <w:szCs w:val="28"/>
        </w:rPr>
        <w:br/>
        <w:t>«О начале функционирования механизма прослеживаемости товаров, ввезенных на таможенную территорию ЕАЭС» предусматривает, что механизм прослеживаемости товаров, предусмотренный Соглашением, начн</w:t>
      </w:r>
      <w:r w:rsidR="00A169B8" w:rsidRPr="005372F6">
        <w:rPr>
          <w:sz w:val="28"/>
          <w:szCs w:val="28"/>
        </w:rPr>
        <w:t>ет</w:t>
      </w:r>
      <w:r w:rsidRPr="005372F6">
        <w:rPr>
          <w:sz w:val="28"/>
          <w:szCs w:val="28"/>
        </w:rPr>
        <w:t xml:space="preserve"> функционировать на постоянной основе по истечении </w:t>
      </w:r>
      <w:r w:rsidR="00B918CF">
        <w:rPr>
          <w:sz w:val="28"/>
          <w:szCs w:val="28"/>
        </w:rPr>
        <w:t>9</w:t>
      </w:r>
      <w:r w:rsidRPr="005372F6">
        <w:rPr>
          <w:sz w:val="28"/>
          <w:szCs w:val="28"/>
        </w:rPr>
        <w:t xml:space="preserve"> месяцев с даты официального опубликования данного решения, но не ранее 1-го числа месяца, следующего за указанной датой</w:t>
      </w:r>
      <w:r w:rsidR="00B20429" w:rsidRPr="005372F6">
        <w:rPr>
          <w:sz w:val="28"/>
          <w:szCs w:val="28"/>
        </w:rPr>
        <w:t>.</w:t>
      </w:r>
    </w:p>
    <w:p w:rsidR="00871989" w:rsidRPr="005372F6" w:rsidRDefault="00871989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2F6B33" w:rsidP="0006151C">
      <w:pPr>
        <w:pStyle w:val="2"/>
        <w:widowControl/>
        <w:tabs>
          <w:tab w:val="left" w:pos="0"/>
        </w:tabs>
        <w:ind w:left="0" w:firstLine="709"/>
      </w:pPr>
      <w:r w:rsidRPr="005372F6">
        <w:t>14. </w:t>
      </w:r>
      <w:r w:rsidR="00965072" w:rsidRPr="005372F6">
        <w:t>Сведения о проведении публичного обсуждения</w:t>
      </w:r>
      <w:r w:rsidR="0007569C">
        <w:t xml:space="preserve"> </w:t>
      </w:r>
      <w:r w:rsidR="00965072" w:rsidRPr="005372F6">
        <w:t xml:space="preserve">проекта решения </w:t>
      </w:r>
      <w:r w:rsidR="008D3C66" w:rsidRPr="005372F6">
        <w:t>ЕЭК</w:t>
      </w:r>
      <w:r w:rsidR="00F66A3C">
        <w:t>:</w:t>
      </w:r>
    </w:p>
    <w:p w:rsidR="00F66A3C" w:rsidRPr="00F66A3C" w:rsidRDefault="00F66A3C" w:rsidP="00F66A3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66A3C">
        <w:rPr>
          <w:sz w:val="28"/>
          <w:szCs w:val="28"/>
        </w:rPr>
        <w:t xml:space="preserve">ата размещения проекта решения </w:t>
      </w:r>
      <w:r>
        <w:rPr>
          <w:sz w:val="28"/>
          <w:szCs w:val="28"/>
        </w:rPr>
        <w:t>Совета ЕЭК</w:t>
      </w:r>
      <w:r w:rsidRPr="00F66A3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настоящей </w:t>
      </w:r>
      <w:r w:rsidRPr="00F66A3C">
        <w:rPr>
          <w:sz w:val="28"/>
          <w:szCs w:val="28"/>
        </w:rPr>
        <w:t xml:space="preserve">информационно-аналитической справки и опросного листа на официальном сайте </w:t>
      </w:r>
      <w:r>
        <w:rPr>
          <w:sz w:val="28"/>
          <w:szCs w:val="28"/>
        </w:rPr>
        <w:t>ЕАЭС – 3 сентября 2025 г.;</w:t>
      </w:r>
    </w:p>
    <w:p w:rsidR="00F66A3C" w:rsidRPr="00F66A3C" w:rsidRDefault="00F66A3C" w:rsidP="00F66A3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F66A3C">
        <w:rPr>
          <w:sz w:val="28"/>
          <w:szCs w:val="28"/>
        </w:rPr>
        <w:t>место размещения</w:t>
      </w:r>
      <w:r>
        <w:rPr>
          <w:sz w:val="28"/>
          <w:szCs w:val="28"/>
        </w:rPr>
        <w:t xml:space="preserve"> указанных документов – </w:t>
      </w:r>
      <w:hyperlink r:id="rId8" w:history="1">
        <w:r w:rsidRPr="00554F77">
          <w:rPr>
            <w:rStyle w:val="ac"/>
            <w:color w:val="000000" w:themeColor="text1"/>
            <w:sz w:val="28"/>
            <w:szCs w:val="28"/>
          </w:rPr>
          <w:t>https://regulation.eaeunion.org/orv/3190/</w:t>
        </w:r>
      </w:hyperlink>
      <w:r w:rsidRPr="00F66A3C">
        <w:rPr>
          <w:sz w:val="28"/>
          <w:szCs w:val="28"/>
        </w:rPr>
        <w:t>;</w:t>
      </w:r>
    </w:p>
    <w:p w:rsidR="00F66A3C" w:rsidRPr="00F66A3C" w:rsidRDefault="00F66A3C" w:rsidP="00F66A3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F66A3C">
        <w:rPr>
          <w:sz w:val="28"/>
          <w:szCs w:val="28"/>
        </w:rPr>
        <w:t xml:space="preserve">способ представления предложений к проекту решения </w:t>
      </w:r>
      <w:r>
        <w:rPr>
          <w:sz w:val="28"/>
          <w:szCs w:val="28"/>
        </w:rPr>
        <w:t>Совета ЕЭК</w:t>
      </w:r>
      <w:r w:rsidRPr="00F66A3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66A3C">
        <w:rPr>
          <w:sz w:val="28"/>
          <w:szCs w:val="28"/>
        </w:rPr>
        <w:t xml:space="preserve">и информационно-аналитической справке, а также заполнения опросного листа </w:t>
      </w:r>
      <w:r>
        <w:rPr>
          <w:sz w:val="28"/>
          <w:szCs w:val="28"/>
        </w:rPr>
        <w:t>–</w:t>
      </w:r>
      <w:r w:rsidRPr="00F66A3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66A3C">
        <w:rPr>
          <w:sz w:val="28"/>
          <w:szCs w:val="28"/>
        </w:rPr>
        <w:t xml:space="preserve">с использованием соответствующего сервиса официального сайта </w:t>
      </w:r>
      <w:r>
        <w:rPr>
          <w:sz w:val="28"/>
          <w:szCs w:val="28"/>
        </w:rPr>
        <w:t>ЕАЭС</w:t>
      </w:r>
      <w:r w:rsidRPr="00F66A3C">
        <w:rPr>
          <w:sz w:val="28"/>
          <w:szCs w:val="28"/>
        </w:rPr>
        <w:t>, на бумажном носителе или по электронной почте;</w:t>
      </w:r>
    </w:p>
    <w:p w:rsidR="00F66A3C" w:rsidRPr="00F66A3C" w:rsidRDefault="00F66A3C" w:rsidP="00F66A3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F66A3C">
        <w:rPr>
          <w:sz w:val="28"/>
          <w:szCs w:val="28"/>
        </w:rPr>
        <w:t xml:space="preserve">срок представления предложений к проекту проекта решения </w:t>
      </w:r>
      <w:r>
        <w:rPr>
          <w:sz w:val="28"/>
          <w:szCs w:val="28"/>
        </w:rPr>
        <w:t>Совета ЕЭК</w:t>
      </w:r>
      <w:r w:rsidRPr="00F66A3C">
        <w:rPr>
          <w:sz w:val="28"/>
          <w:szCs w:val="28"/>
        </w:rPr>
        <w:t xml:space="preserve"> </w:t>
      </w:r>
      <w:r w:rsidR="00E95BE6">
        <w:rPr>
          <w:sz w:val="28"/>
          <w:szCs w:val="28"/>
        </w:rPr>
        <w:br/>
      </w:r>
      <w:r w:rsidRPr="00F66A3C">
        <w:rPr>
          <w:sz w:val="28"/>
          <w:szCs w:val="28"/>
        </w:rPr>
        <w:t>и информационно-аналитической справке, а также заполнения опросного листа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br/>
        <w:t>по 3 октября 2025 г.</w:t>
      </w:r>
      <w:r w:rsidRPr="00F66A3C">
        <w:rPr>
          <w:sz w:val="28"/>
          <w:szCs w:val="28"/>
        </w:rPr>
        <w:t>;</w:t>
      </w:r>
    </w:p>
    <w:p w:rsidR="00671004" w:rsidRDefault="00F66A3C" w:rsidP="00671004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F66A3C">
        <w:rPr>
          <w:sz w:val="28"/>
          <w:szCs w:val="28"/>
        </w:rPr>
        <w:t xml:space="preserve">перечень лиц, письменно извещенных о размещении </w:t>
      </w:r>
      <w:r>
        <w:rPr>
          <w:sz w:val="28"/>
          <w:szCs w:val="28"/>
        </w:rPr>
        <w:t>указанных документов</w:t>
      </w:r>
      <w:r w:rsidR="006E7F19">
        <w:rPr>
          <w:sz w:val="28"/>
          <w:szCs w:val="28"/>
        </w:rPr>
        <w:t xml:space="preserve"> – </w:t>
      </w:r>
      <w:r w:rsidR="00671004" w:rsidRPr="006E7F19">
        <w:rPr>
          <w:sz w:val="28"/>
          <w:szCs w:val="28"/>
        </w:rPr>
        <w:t xml:space="preserve">члены рабочей группы </w:t>
      </w:r>
      <w:r w:rsidR="006E7F19" w:rsidRPr="006E7F19">
        <w:rPr>
          <w:sz w:val="28"/>
          <w:szCs w:val="28"/>
        </w:rPr>
        <w:t>ЕЭК</w:t>
      </w:r>
      <w:r w:rsidR="00671004" w:rsidRPr="006E7F19">
        <w:rPr>
          <w:sz w:val="28"/>
          <w:szCs w:val="28"/>
        </w:rPr>
        <w:t xml:space="preserve"> по проведению оценки регулирующего воздействия проектов решений </w:t>
      </w:r>
      <w:r w:rsidR="006E7F19" w:rsidRPr="006E7F19">
        <w:rPr>
          <w:sz w:val="28"/>
          <w:szCs w:val="28"/>
        </w:rPr>
        <w:t>ЕЭК (</w:t>
      </w:r>
      <w:r w:rsidR="00671004" w:rsidRPr="006E7F19">
        <w:rPr>
          <w:sz w:val="28"/>
          <w:szCs w:val="28"/>
        </w:rPr>
        <w:t>служебн</w:t>
      </w:r>
      <w:r w:rsidR="006E7F19" w:rsidRPr="006E7F19">
        <w:rPr>
          <w:sz w:val="28"/>
          <w:szCs w:val="28"/>
        </w:rPr>
        <w:t>ая</w:t>
      </w:r>
      <w:r w:rsidR="00671004" w:rsidRPr="006E7F19">
        <w:rPr>
          <w:sz w:val="28"/>
          <w:szCs w:val="28"/>
        </w:rPr>
        <w:t xml:space="preserve"> записк</w:t>
      </w:r>
      <w:r w:rsidR="006E7F19" w:rsidRPr="006E7F19">
        <w:rPr>
          <w:sz w:val="28"/>
          <w:szCs w:val="28"/>
        </w:rPr>
        <w:t xml:space="preserve">а от 08.09.2025 № 09-15925/Э) и </w:t>
      </w:r>
      <w:r w:rsidR="00671004" w:rsidRPr="006E7F19">
        <w:rPr>
          <w:sz w:val="28"/>
          <w:szCs w:val="28"/>
        </w:rPr>
        <w:t xml:space="preserve">члены рабочей группы от бизнес-сообщества и координаторов бизнес-сообщества государств – членов ЕАЭС </w:t>
      </w:r>
      <w:r w:rsidR="006E7F19" w:rsidRPr="006E7F19">
        <w:rPr>
          <w:sz w:val="28"/>
          <w:szCs w:val="28"/>
        </w:rPr>
        <w:t>(</w:t>
      </w:r>
      <w:r w:rsidR="00671004" w:rsidRPr="006E7F19">
        <w:rPr>
          <w:sz w:val="28"/>
          <w:szCs w:val="28"/>
        </w:rPr>
        <w:t>письмо от 08.09.2025 № 09-192</w:t>
      </w:r>
      <w:r w:rsidR="006E7F19" w:rsidRPr="006E7F19">
        <w:rPr>
          <w:sz w:val="28"/>
          <w:szCs w:val="28"/>
        </w:rPr>
        <w:t>)</w:t>
      </w:r>
      <w:r w:rsidR="00671004" w:rsidRPr="006E7F19">
        <w:rPr>
          <w:sz w:val="28"/>
          <w:szCs w:val="28"/>
        </w:rPr>
        <w:t>;</w:t>
      </w:r>
    </w:p>
    <w:p w:rsidR="00F66A3C" w:rsidRPr="005372F6" w:rsidRDefault="00F66A3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F66A3C">
        <w:rPr>
          <w:sz w:val="28"/>
          <w:szCs w:val="28"/>
        </w:rPr>
        <w:t xml:space="preserve">перечень лиц, представивших предложения к проекту решения </w:t>
      </w:r>
      <w:r w:rsidR="006E7F19">
        <w:rPr>
          <w:sz w:val="28"/>
          <w:szCs w:val="28"/>
        </w:rPr>
        <w:t xml:space="preserve">Совета ЕЭК – </w:t>
      </w:r>
      <w:r w:rsidR="006E7F19" w:rsidRPr="006E7F19">
        <w:rPr>
          <w:sz w:val="28"/>
          <w:szCs w:val="28"/>
        </w:rPr>
        <w:t xml:space="preserve">Департамент развития предпринимательской деятельности </w:t>
      </w:r>
      <w:r w:rsidR="006E7F19">
        <w:rPr>
          <w:sz w:val="28"/>
          <w:szCs w:val="28"/>
        </w:rPr>
        <w:t>ЕЭК</w:t>
      </w:r>
      <w:r w:rsidR="006E7F19" w:rsidRPr="006E7F19">
        <w:rPr>
          <w:sz w:val="28"/>
          <w:szCs w:val="28"/>
        </w:rPr>
        <w:t xml:space="preserve"> (служебная записка от 16.09.2025 № 10-16550/Э)</w:t>
      </w:r>
      <w:r w:rsidR="006E7F19">
        <w:rPr>
          <w:sz w:val="28"/>
          <w:szCs w:val="28"/>
        </w:rPr>
        <w:t xml:space="preserve">. Кроме того, поступили служебные записки </w:t>
      </w:r>
      <w:r w:rsidR="006E7F19" w:rsidRPr="006E7F19">
        <w:rPr>
          <w:sz w:val="28"/>
          <w:szCs w:val="28"/>
        </w:rPr>
        <w:t>Департамент</w:t>
      </w:r>
      <w:r w:rsidR="006E7F19">
        <w:rPr>
          <w:sz w:val="28"/>
          <w:szCs w:val="28"/>
        </w:rPr>
        <w:t>а</w:t>
      </w:r>
      <w:r w:rsidR="006E7F19" w:rsidRPr="006E7F19">
        <w:rPr>
          <w:sz w:val="28"/>
          <w:szCs w:val="28"/>
        </w:rPr>
        <w:t xml:space="preserve"> развития интеграции</w:t>
      </w:r>
      <w:r w:rsidR="006E7F19">
        <w:rPr>
          <w:sz w:val="28"/>
          <w:szCs w:val="28"/>
        </w:rPr>
        <w:t xml:space="preserve"> ЕЭК</w:t>
      </w:r>
      <w:r w:rsidR="006E7F19" w:rsidRPr="006E7F19">
        <w:rPr>
          <w:sz w:val="28"/>
          <w:szCs w:val="28"/>
        </w:rPr>
        <w:t xml:space="preserve"> от 11</w:t>
      </w:r>
      <w:r w:rsidR="006E7F19">
        <w:rPr>
          <w:sz w:val="28"/>
          <w:szCs w:val="28"/>
        </w:rPr>
        <w:t>.</w:t>
      </w:r>
      <w:r w:rsidR="006E7F19" w:rsidRPr="006E7F19">
        <w:rPr>
          <w:sz w:val="28"/>
          <w:szCs w:val="28"/>
        </w:rPr>
        <w:t>09</w:t>
      </w:r>
      <w:r w:rsidR="006E7F19">
        <w:rPr>
          <w:sz w:val="28"/>
          <w:szCs w:val="28"/>
        </w:rPr>
        <w:t>.</w:t>
      </w:r>
      <w:r w:rsidR="006E7F19" w:rsidRPr="006E7F19">
        <w:rPr>
          <w:sz w:val="28"/>
          <w:szCs w:val="28"/>
        </w:rPr>
        <w:t>2025 № 06-16129/Э</w:t>
      </w:r>
      <w:r w:rsidR="006E7F19">
        <w:rPr>
          <w:sz w:val="28"/>
          <w:szCs w:val="28"/>
        </w:rPr>
        <w:t xml:space="preserve"> и </w:t>
      </w:r>
      <w:r w:rsidR="006E7F19" w:rsidRPr="006E7F19">
        <w:rPr>
          <w:sz w:val="28"/>
          <w:szCs w:val="28"/>
        </w:rPr>
        <w:t>Департамент</w:t>
      </w:r>
      <w:r w:rsidR="006E7F19">
        <w:rPr>
          <w:sz w:val="28"/>
          <w:szCs w:val="28"/>
        </w:rPr>
        <w:t>а</w:t>
      </w:r>
      <w:r w:rsidR="006E7F19" w:rsidRPr="006E7F19">
        <w:rPr>
          <w:sz w:val="28"/>
          <w:szCs w:val="28"/>
        </w:rPr>
        <w:t xml:space="preserve"> </w:t>
      </w:r>
      <w:r w:rsidR="006E7F19" w:rsidRPr="006E7F19">
        <w:rPr>
          <w:sz w:val="28"/>
          <w:szCs w:val="28"/>
        </w:rPr>
        <w:lastRenderedPageBreak/>
        <w:t>конкурентной политики и политики в области государственных закупок</w:t>
      </w:r>
      <w:r w:rsidR="006E7F19">
        <w:rPr>
          <w:sz w:val="28"/>
          <w:szCs w:val="28"/>
        </w:rPr>
        <w:t xml:space="preserve"> ЕЭК</w:t>
      </w:r>
      <w:r w:rsidR="006E7F19" w:rsidRPr="006E7F19">
        <w:rPr>
          <w:sz w:val="28"/>
          <w:szCs w:val="28"/>
        </w:rPr>
        <w:t xml:space="preserve"> </w:t>
      </w:r>
      <w:r w:rsidR="00E95BE6">
        <w:rPr>
          <w:sz w:val="28"/>
          <w:szCs w:val="28"/>
        </w:rPr>
        <w:br/>
      </w:r>
      <w:r w:rsidR="006E7F19" w:rsidRPr="006E7F19">
        <w:rPr>
          <w:sz w:val="28"/>
          <w:szCs w:val="28"/>
        </w:rPr>
        <w:t>от 19.09.2025 № 23-16856/Э</w:t>
      </w:r>
      <w:r w:rsidR="006E7F19">
        <w:rPr>
          <w:sz w:val="28"/>
          <w:szCs w:val="28"/>
        </w:rPr>
        <w:t xml:space="preserve"> об отсутствии замечаний и предложений.</w:t>
      </w:r>
    </w:p>
    <w:p w:rsidR="00E235CC" w:rsidRPr="005372F6" w:rsidRDefault="00E235C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2F6B33" w:rsidP="0006151C">
      <w:pPr>
        <w:pStyle w:val="2"/>
        <w:widowControl/>
        <w:tabs>
          <w:tab w:val="left" w:pos="0"/>
        </w:tabs>
        <w:ind w:left="0" w:firstLine="709"/>
      </w:pPr>
      <w:r w:rsidRPr="005372F6">
        <w:t>15. </w:t>
      </w:r>
      <w:r w:rsidR="00965072" w:rsidRPr="005372F6">
        <w:t xml:space="preserve">Сведения о заключении об оценке регулирующего воздействия </w:t>
      </w:r>
      <w:r w:rsidR="0007569C">
        <w:br/>
      </w:r>
      <w:r w:rsidR="00965072" w:rsidRPr="005372F6">
        <w:t xml:space="preserve">на проект решения </w:t>
      </w:r>
      <w:r w:rsidR="008D3C66" w:rsidRPr="005372F6">
        <w:t>ЕЭК</w:t>
      </w:r>
      <w:r w:rsidR="005372F6">
        <w:t>.</w:t>
      </w:r>
    </w:p>
    <w:p w:rsidR="00E33639" w:rsidRDefault="00CE21FD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з</w:t>
      </w:r>
      <w:r w:rsidRPr="00CE21FD">
        <w:rPr>
          <w:sz w:val="28"/>
          <w:szCs w:val="28"/>
        </w:rPr>
        <w:t>аключени</w:t>
      </w:r>
      <w:r>
        <w:rPr>
          <w:sz w:val="28"/>
          <w:szCs w:val="28"/>
        </w:rPr>
        <w:t>ю</w:t>
      </w:r>
      <w:r w:rsidRPr="00CE21FD">
        <w:rPr>
          <w:sz w:val="28"/>
          <w:szCs w:val="28"/>
        </w:rPr>
        <w:t xml:space="preserve"> об оценке регулирующего воздействия от 28</w:t>
      </w:r>
      <w:r>
        <w:rPr>
          <w:sz w:val="28"/>
          <w:szCs w:val="28"/>
        </w:rPr>
        <w:t>.10.</w:t>
      </w:r>
      <w:r w:rsidRPr="00CE21FD">
        <w:rPr>
          <w:sz w:val="28"/>
          <w:szCs w:val="28"/>
        </w:rPr>
        <w:t xml:space="preserve">2025 № 608 проект решения Совета </w:t>
      </w:r>
      <w:r>
        <w:rPr>
          <w:sz w:val="28"/>
          <w:szCs w:val="28"/>
        </w:rPr>
        <w:t>ЕЭК</w:t>
      </w:r>
      <w:r w:rsidRPr="00CE21FD">
        <w:rPr>
          <w:sz w:val="28"/>
          <w:szCs w:val="28"/>
        </w:rPr>
        <w:t xml:space="preserve"> не окажет влияния на условия ведения предпринимательской деятельности, поскольку его принятие позволит обеспечить прослеживаемость и законность реализации соответствующих видов (категорий) товаров, предусмотренных</w:t>
      </w:r>
      <w:r>
        <w:rPr>
          <w:sz w:val="28"/>
          <w:szCs w:val="28"/>
        </w:rPr>
        <w:t xml:space="preserve"> перечнем подлежащих прослеживаемости товаров,</w:t>
      </w:r>
      <w:r w:rsidRPr="00CE21FD">
        <w:rPr>
          <w:sz w:val="28"/>
          <w:szCs w:val="28"/>
        </w:rPr>
        <w:t xml:space="preserve"> в то время как сам перечень по своему содержанию является достаточно кратким (компактным) и включает три категории товаров</w:t>
      </w:r>
      <w:r>
        <w:rPr>
          <w:sz w:val="28"/>
          <w:szCs w:val="28"/>
        </w:rPr>
        <w:t>.</w:t>
      </w:r>
    </w:p>
    <w:p w:rsidR="00CE21FD" w:rsidRPr="005372F6" w:rsidRDefault="00CE21FD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2F6B33" w:rsidP="0006151C">
      <w:pPr>
        <w:pStyle w:val="2"/>
        <w:widowControl/>
        <w:tabs>
          <w:tab w:val="left" w:pos="0"/>
        </w:tabs>
        <w:ind w:left="0" w:firstLine="709"/>
      </w:pPr>
      <w:r w:rsidRPr="005372F6">
        <w:t>16. </w:t>
      </w:r>
      <w:r w:rsidR="00965072" w:rsidRPr="005372F6">
        <w:t xml:space="preserve">Иная информация, относящаяся, по мнению департамента ЕЭК, ответственного за подготовку проекта решения ЕЭК, к основным сведениям </w:t>
      </w:r>
      <w:r w:rsidR="0007569C">
        <w:br/>
      </w:r>
      <w:r w:rsidR="00965072" w:rsidRPr="005372F6">
        <w:t xml:space="preserve">о проекте решения ЕЭК и (или) о его </w:t>
      </w:r>
      <w:r w:rsidR="008D3C66" w:rsidRPr="005372F6">
        <w:t>подготовке</w:t>
      </w:r>
      <w:r w:rsidR="005372F6">
        <w:t>.</w:t>
      </w:r>
    </w:p>
    <w:p w:rsidR="009E28F0" w:rsidRPr="005372F6" w:rsidRDefault="003F3512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 xml:space="preserve">Проект </w:t>
      </w:r>
      <w:r w:rsidR="009E28F0" w:rsidRPr="005372F6">
        <w:rPr>
          <w:sz w:val="28"/>
          <w:szCs w:val="28"/>
        </w:rPr>
        <w:t>решения Совета ЕЭК</w:t>
      </w:r>
      <w:r w:rsidR="0026140A" w:rsidRPr="005372F6">
        <w:rPr>
          <w:sz w:val="28"/>
          <w:szCs w:val="28"/>
        </w:rPr>
        <w:t xml:space="preserve"> </w:t>
      </w:r>
      <w:r w:rsidRPr="005372F6">
        <w:rPr>
          <w:sz w:val="28"/>
          <w:szCs w:val="28"/>
        </w:rPr>
        <w:t xml:space="preserve">подготовлен Департаментом финансовой политики </w:t>
      </w:r>
      <w:r w:rsidR="009E28F0" w:rsidRPr="005372F6">
        <w:rPr>
          <w:sz w:val="28"/>
          <w:szCs w:val="28"/>
        </w:rPr>
        <w:t xml:space="preserve">ЕЭК совместно с </w:t>
      </w:r>
      <w:r w:rsidR="00DC56E5" w:rsidRPr="005372F6">
        <w:rPr>
          <w:sz w:val="28"/>
          <w:szCs w:val="28"/>
        </w:rPr>
        <w:t>заинтересованными государственными</w:t>
      </w:r>
      <w:r w:rsidR="009E28F0" w:rsidRPr="005372F6">
        <w:rPr>
          <w:sz w:val="28"/>
          <w:szCs w:val="28"/>
        </w:rPr>
        <w:t xml:space="preserve"> органами государств-членов</w:t>
      </w:r>
      <w:r w:rsidRPr="005372F6">
        <w:rPr>
          <w:sz w:val="28"/>
          <w:szCs w:val="28"/>
        </w:rPr>
        <w:t xml:space="preserve"> </w:t>
      </w:r>
      <w:r w:rsidR="009E28F0" w:rsidRPr="005372F6">
        <w:rPr>
          <w:sz w:val="28"/>
          <w:szCs w:val="28"/>
        </w:rPr>
        <w:t>с учетом итогов реализации пилотного проекта по внедрению механизма прослеживаемости товаров, ввезенных на таможенную территорию ЕАЭС.</w:t>
      </w:r>
      <w:r w:rsidRPr="005372F6">
        <w:rPr>
          <w:sz w:val="28"/>
          <w:szCs w:val="28"/>
        </w:rPr>
        <w:t xml:space="preserve"> </w:t>
      </w:r>
    </w:p>
    <w:sectPr w:rsidR="009E28F0" w:rsidRPr="005372F6" w:rsidSect="003E2F07">
      <w:headerReference w:type="default" r:id="rId9"/>
      <w:pgSz w:w="11910" w:h="16840"/>
      <w:pgMar w:top="1134" w:right="567" w:bottom="709" w:left="1134" w:header="5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B4D" w:rsidRDefault="00D24B4D">
      <w:r>
        <w:separator/>
      </w:r>
    </w:p>
  </w:endnote>
  <w:endnote w:type="continuationSeparator" w:id="0">
    <w:p w:rsidR="00D24B4D" w:rsidRDefault="00D2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B4D" w:rsidRDefault="00D24B4D">
      <w:r>
        <w:separator/>
      </w:r>
    </w:p>
  </w:footnote>
  <w:footnote w:type="continuationSeparator" w:id="0">
    <w:p w:rsidR="00D24B4D" w:rsidRDefault="00D24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8751253"/>
      <w:docPartObj>
        <w:docPartGallery w:val="Page Numbers (Top of Page)"/>
        <w:docPartUnique/>
      </w:docPartObj>
    </w:sdtPr>
    <w:sdtEndPr/>
    <w:sdtContent>
      <w:p w:rsidR="00F6321F" w:rsidRDefault="00F632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99F">
          <w:rPr>
            <w:noProof/>
          </w:rPr>
          <w:t>6</w:t>
        </w:r>
        <w:r>
          <w:fldChar w:fldCharType="end"/>
        </w:r>
      </w:p>
    </w:sdtContent>
  </w:sdt>
  <w:p w:rsidR="00F6321F" w:rsidRDefault="00F6321F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36BE"/>
    <w:multiLevelType w:val="hybridMultilevel"/>
    <w:tmpl w:val="C810AE6A"/>
    <w:lvl w:ilvl="0" w:tplc="AFF8422C">
      <w:start w:val="1"/>
      <w:numFmt w:val="decimal"/>
      <w:lvlText w:val="%1."/>
      <w:lvlJc w:val="left"/>
      <w:pPr>
        <w:ind w:left="325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13761546">
      <w:numFmt w:val="bullet"/>
      <w:lvlText w:val="•"/>
      <w:lvlJc w:val="left"/>
      <w:pPr>
        <w:ind w:left="1330" w:hanging="213"/>
      </w:pPr>
      <w:rPr>
        <w:rFonts w:hint="default"/>
        <w:lang w:val="ru-RU" w:eastAsia="en-US" w:bidi="ar-SA"/>
      </w:rPr>
    </w:lvl>
    <w:lvl w:ilvl="2" w:tplc="92BE0B8A">
      <w:numFmt w:val="bullet"/>
      <w:lvlText w:val="•"/>
      <w:lvlJc w:val="left"/>
      <w:pPr>
        <w:ind w:left="2341" w:hanging="213"/>
      </w:pPr>
      <w:rPr>
        <w:rFonts w:hint="default"/>
        <w:lang w:val="ru-RU" w:eastAsia="en-US" w:bidi="ar-SA"/>
      </w:rPr>
    </w:lvl>
    <w:lvl w:ilvl="3" w:tplc="15BAE2F6">
      <w:numFmt w:val="bullet"/>
      <w:lvlText w:val="•"/>
      <w:lvlJc w:val="left"/>
      <w:pPr>
        <w:ind w:left="3351" w:hanging="213"/>
      </w:pPr>
      <w:rPr>
        <w:rFonts w:hint="default"/>
        <w:lang w:val="ru-RU" w:eastAsia="en-US" w:bidi="ar-SA"/>
      </w:rPr>
    </w:lvl>
    <w:lvl w:ilvl="4" w:tplc="8E085716">
      <w:numFmt w:val="bullet"/>
      <w:lvlText w:val="•"/>
      <w:lvlJc w:val="left"/>
      <w:pPr>
        <w:ind w:left="4362" w:hanging="213"/>
      </w:pPr>
      <w:rPr>
        <w:rFonts w:hint="default"/>
        <w:lang w:val="ru-RU" w:eastAsia="en-US" w:bidi="ar-SA"/>
      </w:rPr>
    </w:lvl>
    <w:lvl w:ilvl="5" w:tplc="5CBC32E4">
      <w:numFmt w:val="bullet"/>
      <w:lvlText w:val="•"/>
      <w:lvlJc w:val="left"/>
      <w:pPr>
        <w:ind w:left="5373" w:hanging="213"/>
      </w:pPr>
      <w:rPr>
        <w:rFonts w:hint="default"/>
        <w:lang w:val="ru-RU" w:eastAsia="en-US" w:bidi="ar-SA"/>
      </w:rPr>
    </w:lvl>
    <w:lvl w:ilvl="6" w:tplc="D9202D1C">
      <w:numFmt w:val="bullet"/>
      <w:lvlText w:val="•"/>
      <w:lvlJc w:val="left"/>
      <w:pPr>
        <w:ind w:left="6383" w:hanging="213"/>
      </w:pPr>
      <w:rPr>
        <w:rFonts w:hint="default"/>
        <w:lang w:val="ru-RU" w:eastAsia="en-US" w:bidi="ar-SA"/>
      </w:rPr>
    </w:lvl>
    <w:lvl w:ilvl="7" w:tplc="EC08B0B4">
      <w:numFmt w:val="bullet"/>
      <w:lvlText w:val="•"/>
      <w:lvlJc w:val="left"/>
      <w:pPr>
        <w:ind w:left="7394" w:hanging="213"/>
      </w:pPr>
      <w:rPr>
        <w:rFonts w:hint="default"/>
        <w:lang w:val="ru-RU" w:eastAsia="en-US" w:bidi="ar-SA"/>
      </w:rPr>
    </w:lvl>
    <w:lvl w:ilvl="8" w:tplc="73B8CEF4">
      <w:numFmt w:val="bullet"/>
      <w:lvlText w:val="•"/>
      <w:lvlJc w:val="left"/>
      <w:pPr>
        <w:ind w:left="8405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297E7331"/>
    <w:multiLevelType w:val="multilevel"/>
    <w:tmpl w:val="C306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96"/>
    <w:rsid w:val="0000142C"/>
    <w:rsid w:val="00014C44"/>
    <w:rsid w:val="00015B57"/>
    <w:rsid w:val="00020531"/>
    <w:rsid w:val="0002386A"/>
    <w:rsid w:val="000250C6"/>
    <w:rsid w:val="00036D96"/>
    <w:rsid w:val="0004107E"/>
    <w:rsid w:val="00054959"/>
    <w:rsid w:val="000573EE"/>
    <w:rsid w:val="0006151C"/>
    <w:rsid w:val="000736FE"/>
    <w:rsid w:val="00074E33"/>
    <w:rsid w:val="0007569C"/>
    <w:rsid w:val="00080DF2"/>
    <w:rsid w:val="00081547"/>
    <w:rsid w:val="000A4A50"/>
    <w:rsid w:val="000B0A3D"/>
    <w:rsid w:val="000B1A48"/>
    <w:rsid w:val="000D27E4"/>
    <w:rsid w:val="000D45A1"/>
    <w:rsid w:val="000D5B86"/>
    <w:rsid w:val="000D720F"/>
    <w:rsid w:val="000E49A5"/>
    <w:rsid w:val="000E72B1"/>
    <w:rsid w:val="001171EB"/>
    <w:rsid w:val="00117307"/>
    <w:rsid w:val="001230D8"/>
    <w:rsid w:val="00123DAD"/>
    <w:rsid w:val="00124791"/>
    <w:rsid w:val="001251E1"/>
    <w:rsid w:val="0013461C"/>
    <w:rsid w:val="0016368F"/>
    <w:rsid w:val="00166E56"/>
    <w:rsid w:val="00170451"/>
    <w:rsid w:val="001734DD"/>
    <w:rsid w:val="00176323"/>
    <w:rsid w:val="00191349"/>
    <w:rsid w:val="00192DEC"/>
    <w:rsid w:val="001953BE"/>
    <w:rsid w:val="00195763"/>
    <w:rsid w:val="00195F96"/>
    <w:rsid w:val="001A4926"/>
    <w:rsid w:val="001A75C6"/>
    <w:rsid w:val="001C1096"/>
    <w:rsid w:val="001E0704"/>
    <w:rsid w:val="001F781C"/>
    <w:rsid w:val="00201D70"/>
    <w:rsid w:val="00203B3D"/>
    <w:rsid w:val="00211C91"/>
    <w:rsid w:val="00240E4F"/>
    <w:rsid w:val="00240F6E"/>
    <w:rsid w:val="002555EA"/>
    <w:rsid w:val="0026140A"/>
    <w:rsid w:val="0026238D"/>
    <w:rsid w:val="002647CA"/>
    <w:rsid w:val="00264E0E"/>
    <w:rsid w:val="002651AF"/>
    <w:rsid w:val="002876D4"/>
    <w:rsid w:val="00293ACB"/>
    <w:rsid w:val="00294C53"/>
    <w:rsid w:val="00297FBD"/>
    <w:rsid w:val="002A0757"/>
    <w:rsid w:val="002B1D99"/>
    <w:rsid w:val="002B4E5E"/>
    <w:rsid w:val="002E4CE0"/>
    <w:rsid w:val="002E5964"/>
    <w:rsid w:val="002F23DF"/>
    <w:rsid w:val="002F6B33"/>
    <w:rsid w:val="00314BDD"/>
    <w:rsid w:val="00326EE9"/>
    <w:rsid w:val="00331B72"/>
    <w:rsid w:val="00337270"/>
    <w:rsid w:val="00360147"/>
    <w:rsid w:val="00360733"/>
    <w:rsid w:val="00363FC5"/>
    <w:rsid w:val="00373482"/>
    <w:rsid w:val="00383631"/>
    <w:rsid w:val="00390F0A"/>
    <w:rsid w:val="00392855"/>
    <w:rsid w:val="003E2F07"/>
    <w:rsid w:val="003E6AD8"/>
    <w:rsid w:val="003F3512"/>
    <w:rsid w:val="004005DF"/>
    <w:rsid w:val="004060B1"/>
    <w:rsid w:val="0042751B"/>
    <w:rsid w:val="00445DE8"/>
    <w:rsid w:val="00456D29"/>
    <w:rsid w:val="00464827"/>
    <w:rsid w:val="004661B4"/>
    <w:rsid w:val="00474715"/>
    <w:rsid w:val="0048040E"/>
    <w:rsid w:val="00485A36"/>
    <w:rsid w:val="00493A9F"/>
    <w:rsid w:val="00496241"/>
    <w:rsid w:val="004A5D04"/>
    <w:rsid w:val="004C6017"/>
    <w:rsid w:val="004D11C9"/>
    <w:rsid w:val="004E2105"/>
    <w:rsid w:val="004E2B8E"/>
    <w:rsid w:val="004F55FB"/>
    <w:rsid w:val="00502162"/>
    <w:rsid w:val="00520C86"/>
    <w:rsid w:val="00527D2B"/>
    <w:rsid w:val="00531472"/>
    <w:rsid w:val="005372F6"/>
    <w:rsid w:val="005467F2"/>
    <w:rsid w:val="00572F2C"/>
    <w:rsid w:val="005807AB"/>
    <w:rsid w:val="00581EDC"/>
    <w:rsid w:val="00591B1E"/>
    <w:rsid w:val="005933F7"/>
    <w:rsid w:val="005D50AF"/>
    <w:rsid w:val="005F140E"/>
    <w:rsid w:val="00607599"/>
    <w:rsid w:val="006111C1"/>
    <w:rsid w:val="006219BE"/>
    <w:rsid w:val="00622087"/>
    <w:rsid w:val="00643098"/>
    <w:rsid w:val="00654B1C"/>
    <w:rsid w:val="00671004"/>
    <w:rsid w:val="00681F5F"/>
    <w:rsid w:val="00683054"/>
    <w:rsid w:val="00692852"/>
    <w:rsid w:val="00696E87"/>
    <w:rsid w:val="006A0D3E"/>
    <w:rsid w:val="006A6490"/>
    <w:rsid w:val="006C26E6"/>
    <w:rsid w:val="006C4E10"/>
    <w:rsid w:val="006E40A7"/>
    <w:rsid w:val="006E5332"/>
    <w:rsid w:val="006E7F19"/>
    <w:rsid w:val="00704D0B"/>
    <w:rsid w:val="00742202"/>
    <w:rsid w:val="00761C12"/>
    <w:rsid w:val="00771AEC"/>
    <w:rsid w:val="0079081B"/>
    <w:rsid w:val="00793C16"/>
    <w:rsid w:val="007A14F2"/>
    <w:rsid w:val="007A697E"/>
    <w:rsid w:val="007C37D8"/>
    <w:rsid w:val="007C4872"/>
    <w:rsid w:val="007D3F8B"/>
    <w:rsid w:val="007E11E9"/>
    <w:rsid w:val="00800552"/>
    <w:rsid w:val="00812ABA"/>
    <w:rsid w:val="0081529D"/>
    <w:rsid w:val="008264A7"/>
    <w:rsid w:val="00840D1E"/>
    <w:rsid w:val="008501DD"/>
    <w:rsid w:val="00850BBE"/>
    <w:rsid w:val="00851C51"/>
    <w:rsid w:val="0085651A"/>
    <w:rsid w:val="008638EE"/>
    <w:rsid w:val="0086702D"/>
    <w:rsid w:val="00871989"/>
    <w:rsid w:val="00875A8C"/>
    <w:rsid w:val="00877E18"/>
    <w:rsid w:val="00893C47"/>
    <w:rsid w:val="00894BBC"/>
    <w:rsid w:val="008A078A"/>
    <w:rsid w:val="008A2229"/>
    <w:rsid w:val="008D337C"/>
    <w:rsid w:val="008D3C66"/>
    <w:rsid w:val="008F4ED5"/>
    <w:rsid w:val="0091432F"/>
    <w:rsid w:val="0092099F"/>
    <w:rsid w:val="00924F4A"/>
    <w:rsid w:val="00927E80"/>
    <w:rsid w:val="00927F89"/>
    <w:rsid w:val="00950A51"/>
    <w:rsid w:val="009521BE"/>
    <w:rsid w:val="00955B11"/>
    <w:rsid w:val="009576F5"/>
    <w:rsid w:val="00965072"/>
    <w:rsid w:val="00974108"/>
    <w:rsid w:val="0099219C"/>
    <w:rsid w:val="009941BE"/>
    <w:rsid w:val="009A1C7E"/>
    <w:rsid w:val="009C4DC6"/>
    <w:rsid w:val="009C7CCD"/>
    <w:rsid w:val="009D0F8D"/>
    <w:rsid w:val="009E04BE"/>
    <w:rsid w:val="009E28F0"/>
    <w:rsid w:val="009E667C"/>
    <w:rsid w:val="00A02E15"/>
    <w:rsid w:val="00A169B8"/>
    <w:rsid w:val="00A231CE"/>
    <w:rsid w:val="00A36B7E"/>
    <w:rsid w:val="00A44B51"/>
    <w:rsid w:val="00A45468"/>
    <w:rsid w:val="00A660A3"/>
    <w:rsid w:val="00A90677"/>
    <w:rsid w:val="00AB26EB"/>
    <w:rsid w:val="00AB382C"/>
    <w:rsid w:val="00AC60B8"/>
    <w:rsid w:val="00AD435D"/>
    <w:rsid w:val="00AE3C10"/>
    <w:rsid w:val="00AE4950"/>
    <w:rsid w:val="00AE6677"/>
    <w:rsid w:val="00AF1D9E"/>
    <w:rsid w:val="00AF58DD"/>
    <w:rsid w:val="00B05815"/>
    <w:rsid w:val="00B103A5"/>
    <w:rsid w:val="00B11186"/>
    <w:rsid w:val="00B154B1"/>
    <w:rsid w:val="00B20429"/>
    <w:rsid w:val="00B258F5"/>
    <w:rsid w:val="00B312B2"/>
    <w:rsid w:val="00B44ADE"/>
    <w:rsid w:val="00B54098"/>
    <w:rsid w:val="00B552E0"/>
    <w:rsid w:val="00B9055B"/>
    <w:rsid w:val="00B918CF"/>
    <w:rsid w:val="00BA429C"/>
    <w:rsid w:val="00BA66E4"/>
    <w:rsid w:val="00BB1FD7"/>
    <w:rsid w:val="00BB5864"/>
    <w:rsid w:val="00BC6F83"/>
    <w:rsid w:val="00C03B06"/>
    <w:rsid w:val="00C20A3E"/>
    <w:rsid w:val="00C24DC7"/>
    <w:rsid w:val="00C25CBB"/>
    <w:rsid w:val="00C3524D"/>
    <w:rsid w:val="00C3611D"/>
    <w:rsid w:val="00C4576F"/>
    <w:rsid w:val="00C61F03"/>
    <w:rsid w:val="00C62E35"/>
    <w:rsid w:val="00C70FE6"/>
    <w:rsid w:val="00CA3623"/>
    <w:rsid w:val="00CB290E"/>
    <w:rsid w:val="00CC5B8B"/>
    <w:rsid w:val="00CD0738"/>
    <w:rsid w:val="00CE21FD"/>
    <w:rsid w:val="00D02728"/>
    <w:rsid w:val="00D07FF1"/>
    <w:rsid w:val="00D11E22"/>
    <w:rsid w:val="00D12A54"/>
    <w:rsid w:val="00D24B4D"/>
    <w:rsid w:val="00D3631B"/>
    <w:rsid w:val="00D40F1C"/>
    <w:rsid w:val="00D80A46"/>
    <w:rsid w:val="00DA6633"/>
    <w:rsid w:val="00DB0A44"/>
    <w:rsid w:val="00DB341A"/>
    <w:rsid w:val="00DB6C0A"/>
    <w:rsid w:val="00DC1ADF"/>
    <w:rsid w:val="00DC56E5"/>
    <w:rsid w:val="00DD0892"/>
    <w:rsid w:val="00DD7E85"/>
    <w:rsid w:val="00DF0578"/>
    <w:rsid w:val="00DF3DE1"/>
    <w:rsid w:val="00DF680F"/>
    <w:rsid w:val="00E20A13"/>
    <w:rsid w:val="00E20DB8"/>
    <w:rsid w:val="00E216B8"/>
    <w:rsid w:val="00E235CC"/>
    <w:rsid w:val="00E32963"/>
    <w:rsid w:val="00E33639"/>
    <w:rsid w:val="00E44641"/>
    <w:rsid w:val="00E476BE"/>
    <w:rsid w:val="00E52302"/>
    <w:rsid w:val="00E57ED1"/>
    <w:rsid w:val="00E657E9"/>
    <w:rsid w:val="00E90B3A"/>
    <w:rsid w:val="00E95BE6"/>
    <w:rsid w:val="00EA069F"/>
    <w:rsid w:val="00EB5012"/>
    <w:rsid w:val="00ED2100"/>
    <w:rsid w:val="00ED27BF"/>
    <w:rsid w:val="00ED4C55"/>
    <w:rsid w:val="00EF21B8"/>
    <w:rsid w:val="00F10032"/>
    <w:rsid w:val="00F35D73"/>
    <w:rsid w:val="00F42B9E"/>
    <w:rsid w:val="00F53440"/>
    <w:rsid w:val="00F555BF"/>
    <w:rsid w:val="00F607A4"/>
    <w:rsid w:val="00F6321F"/>
    <w:rsid w:val="00F64E5E"/>
    <w:rsid w:val="00F66A3C"/>
    <w:rsid w:val="00FA6E4D"/>
    <w:rsid w:val="00FC4ABC"/>
    <w:rsid w:val="00FD0D2C"/>
    <w:rsid w:val="00FE5210"/>
    <w:rsid w:val="00FE7ED9"/>
    <w:rsid w:val="00FF0025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0C6C31-71EA-43F9-B92C-C7B995CA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610" w:right="951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112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62E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2E3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62E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2E35"/>
    <w:rPr>
      <w:rFonts w:ascii="Times New Roman" w:eastAsia="Times New Roman" w:hAnsi="Times New Roman" w:cs="Times New Roman"/>
      <w:lang w:val="ru-RU"/>
    </w:rPr>
  </w:style>
  <w:style w:type="character" w:styleId="a9">
    <w:name w:val="Strong"/>
    <w:basedOn w:val="a0"/>
    <w:uiPriority w:val="22"/>
    <w:qFormat/>
    <w:rsid w:val="008264A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F58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58DD"/>
    <w:rPr>
      <w:rFonts w:ascii="Segoe UI" w:eastAsia="Times New Roman" w:hAnsi="Segoe UI" w:cs="Segoe UI"/>
      <w:sz w:val="18"/>
      <w:szCs w:val="18"/>
      <w:lang w:val="ru-RU"/>
    </w:rPr>
  </w:style>
  <w:style w:type="character" w:styleId="ac">
    <w:name w:val="Hyperlink"/>
    <w:basedOn w:val="a0"/>
    <w:uiPriority w:val="99"/>
    <w:semiHidden/>
    <w:unhideWhenUsed/>
    <w:rsid w:val="000D5B86"/>
    <w:rPr>
      <w:color w:val="0000FF"/>
      <w:u w:val="single"/>
    </w:rPr>
  </w:style>
  <w:style w:type="paragraph" w:customStyle="1" w:styleId="Standard">
    <w:name w:val="Standard"/>
    <w:rsid w:val="00D07FF1"/>
    <w:pPr>
      <w:widowControl/>
      <w:suppressAutoHyphens/>
      <w:autoSpaceDE/>
      <w:spacing w:after="200" w:line="276" w:lineRule="auto"/>
      <w:textAlignment w:val="baseline"/>
    </w:pPr>
    <w:rPr>
      <w:rFonts w:ascii="Calibri" w:eastAsia="SimSun" w:hAnsi="Calibri" w:cs="Calibri"/>
      <w:kern w:val="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8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eaeunion.org/orv/319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2B6B8-EF74-4C7C-9BB9-41E00D99B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Инфо-аналитическая справка</vt:lpstr>
    </vt:vector>
  </TitlesOfParts>
  <Company/>
  <LinksUpToDate>false</LinksUpToDate>
  <CharactersWithSpaces>14617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Инфо-аналитическая справка</dc:title>
  <dc:creator>Баймаганбетова Айганым Жаславовна</dc:creator>
  <cp:lastModifiedBy>Баринов Алексей Александрович</cp:lastModifiedBy>
  <cp:revision>2</cp:revision>
  <cp:lastPrinted>2025-10-07T14:13:00Z</cp:lastPrinted>
  <dcterms:created xsi:type="dcterms:W3CDTF">2025-11-06T06:17:00Z</dcterms:created>
  <dcterms:modified xsi:type="dcterms:W3CDTF">2025-11-06T06:17:00Z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2023-07-26T00:00:00Z</vt:filetime>
  </property>
</Properties>
</file>