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08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4D102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шнуров огнепроводных, шнуров детонирующих, капсюлей ударных, капсюлей детонирующих, запалов и электродетонаторов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</w:t>
      </w:r>
      <w:r w:rsidR="004D13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некоторые решения</w:t>
      </w:r>
      <w:r w:rsidR="0068548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Высшего Евразийского экономического совета и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4A7182" w:rsidRDefault="00B33399" w:rsidP="004A7182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4A7182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4A7182">
        <w:rPr>
          <w:b w:val="0"/>
          <w:color w:val="000000"/>
          <w:sz w:val="30"/>
          <w:szCs w:val="30"/>
        </w:rPr>
        <w:t>42</w:t>
      </w:r>
      <w:r w:rsidRPr="004A7182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>
        <w:rPr>
          <w:b w:val="0"/>
          <w:color w:val="000000"/>
          <w:sz w:val="30"/>
          <w:szCs w:val="30"/>
        </w:rPr>
        <w:t xml:space="preserve">, </w:t>
      </w:r>
      <w:r w:rsidR="0004577F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>
        <w:rPr>
          <w:b w:val="0"/>
          <w:color w:val="000000"/>
          <w:sz w:val="30"/>
          <w:szCs w:val="30"/>
        </w:rPr>
        <w:t xml:space="preserve"> </w:t>
      </w:r>
      <w:r w:rsidRPr="004A7182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>
        <w:rPr>
          <w:b w:val="0"/>
          <w:color w:val="000000"/>
          <w:sz w:val="30"/>
          <w:szCs w:val="30"/>
        </w:rPr>
        <w:t xml:space="preserve"> </w:t>
      </w:r>
      <w:r w:rsidRPr="00CE0737">
        <w:rPr>
          <w:color w:val="000000"/>
          <w:spacing w:val="40"/>
          <w:sz w:val="30"/>
          <w:szCs w:val="30"/>
        </w:rPr>
        <w:t>решил</w:t>
      </w:r>
      <w:r w:rsidRPr="00CE0737">
        <w:rPr>
          <w:color w:val="000000"/>
          <w:sz w:val="30"/>
          <w:szCs w:val="30"/>
        </w:rPr>
        <w:t>а: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</w:t>
      </w:r>
      <w:r w:rsidR="002B7FB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г. № 54) следующие изменения: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) исключить из единой Товарной номенклатуры внешнеэкономической деятельности Евразийского экономического союза </w:t>
      </w:r>
      <w:r w:rsidR="00F729A6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550480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б</w:t>
      </w:r>
      <w:proofErr w:type="gramEnd"/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) включить в единую Товарную номенклатуру внешнеэкономической деятельности Евразийского экономического союза </w:t>
      </w:r>
      <w:r w:rsidR="00F729A6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позиции согласно приложению № 2;</w:t>
      </w:r>
    </w:p>
    <w:p w:rsidR="0094169A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в) 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FA14FA" w:rsidRPr="00B84C2F" w:rsidRDefault="00333D1B" w:rsidP="00FA14FA">
      <w:pPr>
        <w:widowControl w:val="0"/>
        <w:spacing w:after="0" w:line="36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  <w:r w:rsidR="00031E0F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Внести в </w:t>
      </w:r>
      <w:r w:rsidR="008A71E6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раздел 2.</w:t>
      </w:r>
      <w:r w:rsidR="008A71E6">
        <w:rPr>
          <w:rFonts w:ascii="Times New Roman" w:eastAsia="Calibri" w:hAnsi="Times New Roman" w:cs="Times New Roman"/>
          <w:color w:val="000000"/>
          <w:sz w:val="30"/>
          <w:szCs w:val="28"/>
        </w:rPr>
        <w:t>2</w:t>
      </w:r>
      <w:r w:rsidR="008A71E6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2</w:t>
      </w:r>
      <w:r w:rsidR="008A71E6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переч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н</w:t>
      </w:r>
      <w:r w:rsidR="008A71E6">
        <w:rPr>
          <w:rFonts w:ascii="Times New Roman" w:eastAsia="Calibri" w:hAnsi="Times New Roman" w:cs="Times New Roman"/>
          <w:color w:val="000000"/>
          <w:sz w:val="30"/>
          <w:szCs w:val="28"/>
        </w:rPr>
        <w:t>я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br/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к Решени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ю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Коллегии Евразийской экономической комиссии 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br/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от 21 апреля 2015 г. № 30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), следующ</w:t>
      </w:r>
      <w:r w:rsidR="00D168ED">
        <w:rPr>
          <w:rFonts w:ascii="Times New Roman" w:eastAsia="Calibri" w:hAnsi="Times New Roman" w:cs="Times New Roman"/>
          <w:color w:val="000000"/>
          <w:sz w:val="30"/>
          <w:szCs w:val="28"/>
        </w:rPr>
        <w:t>е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е изменени</w:t>
      </w:r>
      <w:r w:rsidR="00D168ED">
        <w:rPr>
          <w:rFonts w:ascii="Times New Roman" w:eastAsia="Calibri" w:hAnsi="Times New Roman" w:cs="Times New Roman"/>
          <w:color w:val="000000"/>
          <w:sz w:val="30"/>
          <w:szCs w:val="28"/>
        </w:rPr>
        <w:t>е</w:t>
      </w:r>
      <w:r w:rsidR="00FA14FA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:</w:t>
      </w:r>
    </w:p>
    <w:p w:rsidR="00FA14FA" w:rsidRDefault="00FA14FA" w:rsidP="00FA14FA">
      <w:pPr>
        <w:spacing w:after="0" w:line="36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proofErr w:type="gramStart"/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в</w:t>
      </w:r>
      <w:proofErr w:type="gramEnd"/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позици</w:t>
      </w:r>
      <w:r>
        <w:rPr>
          <w:rFonts w:ascii="Times New Roman" w:eastAsia="Calibri" w:hAnsi="Times New Roman" w:cs="Times New Roman"/>
          <w:color w:val="000000"/>
          <w:sz w:val="30"/>
          <w:szCs w:val="28"/>
        </w:rPr>
        <w:t>и</w:t>
      </w:r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28"/>
        </w:rPr>
        <w:t>2</w:t>
      </w:r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 w:rsidR="00685482">
        <w:rPr>
          <w:rFonts w:ascii="Times New Roman" w:eastAsia="Calibri" w:hAnsi="Times New Roman" w:cs="Times New Roman"/>
          <w:color w:val="000000"/>
          <w:sz w:val="30"/>
          <w:szCs w:val="28"/>
        </w:rPr>
        <w:t>слова</w:t>
      </w:r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«</w:t>
      </w:r>
      <w:r w:rsidR="00685482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из </w:t>
      </w:r>
      <w:r>
        <w:rPr>
          <w:rFonts w:ascii="Times New Roman" w:eastAsia="Calibri" w:hAnsi="Times New Roman" w:cs="Times New Roman"/>
          <w:color w:val="000000"/>
          <w:sz w:val="30"/>
          <w:szCs w:val="28"/>
        </w:rPr>
        <w:t>3603 00 900 9</w:t>
      </w:r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» ТН ВЭД ЕАЭС заменить </w:t>
      </w:r>
      <w:r w:rsidR="00685482">
        <w:rPr>
          <w:rFonts w:ascii="Times New Roman" w:eastAsia="Calibri" w:hAnsi="Times New Roman" w:cs="Times New Roman"/>
          <w:color w:val="000000"/>
          <w:sz w:val="30"/>
          <w:szCs w:val="28"/>
        </w:rPr>
        <w:t>словами</w:t>
      </w:r>
      <w:r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«</w:t>
      </w:r>
      <w:r w:rsidR="00685482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из </w:t>
      </w:r>
      <w:r w:rsidR="00575871">
        <w:rPr>
          <w:rFonts w:ascii="Times New Roman" w:eastAsia="Calibri" w:hAnsi="Times New Roman" w:cs="Times New Roman"/>
          <w:color w:val="000000"/>
          <w:sz w:val="30"/>
          <w:szCs w:val="28"/>
        </w:rPr>
        <w:t>3603 00 900 2</w:t>
      </w:r>
      <w:r w:rsidR="00152281">
        <w:rPr>
          <w:rFonts w:ascii="Times New Roman" w:eastAsia="Calibri" w:hAnsi="Times New Roman" w:cs="Times New Roman"/>
          <w:color w:val="000000"/>
          <w:sz w:val="30"/>
          <w:szCs w:val="28"/>
        </w:rPr>
        <w:t>» ТН ВЭД ЕАЭС.</w:t>
      </w:r>
    </w:p>
    <w:p w:rsidR="00152281" w:rsidRPr="00D168ED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3. 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нести в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</w:t>
      </w:r>
      <w:r w:rsidR="006854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совета от 8 мая 2015 г. № 16</w:t>
      </w:r>
      <w:r w:rsidR="002B7F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следующие изменения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152281" w:rsidRPr="00D168ED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позици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proofErr w:type="gramEnd"/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код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ами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3603 00 100 1, 3603 00 100 9, 3603 00 900 1, 3603 00 900 9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ТН ВЭД ЕАЭС заменить позициями следующего содержания:</w:t>
      </w:r>
    </w:p>
    <w:p w:rsidR="00152281" w:rsidRPr="00D168ED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3603 00 100 2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– 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шнуры огнепроводные</w:t>
      </w:r>
    </w:p>
    <w:p w:rsidR="00152281" w:rsidRDefault="00152281" w:rsidP="00152281">
      <w:pPr>
        <w:shd w:val="clear" w:color="auto" w:fill="FFFFFF"/>
        <w:spacing w:after="0" w:line="240" w:lineRule="auto"/>
        <w:ind w:left="2835" w:hanging="215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3603 00 100 3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D168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трубки пластмассовые (волноводы), </w:t>
      </w:r>
    </w:p>
    <w:p w:rsidR="00152281" w:rsidRDefault="00152281" w:rsidP="00152281">
      <w:pPr>
        <w:shd w:val="clear" w:color="auto" w:fill="FFFFFF"/>
        <w:spacing w:after="0" w:line="240" w:lineRule="auto"/>
        <w:ind w:left="2835" w:hanging="215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внутренняя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поверхность которых покрыта </w:t>
      </w:r>
    </w:p>
    <w:p w:rsidR="00152281" w:rsidRDefault="00152281" w:rsidP="003A7D2B">
      <w:pPr>
        <w:shd w:val="clear" w:color="auto" w:fill="FFFFFF"/>
        <w:spacing w:after="0" w:line="360" w:lineRule="auto"/>
        <w:ind w:left="2835" w:hanging="215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взрывчатым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веществом</w:t>
      </w:r>
    </w:p>
    <w:p w:rsidR="00152281" w:rsidRPr="00152281" w:rsidRDefault="00152281" w:rsidP="003A7D2B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152281">
        <w:rPr>
          <w:rFonts w:ascii="Times New Roman" w:hAnsi="Times New Roman" w:cs="Times New Roman"/>
          <w:sz w:val="30"/>
          <w:szCs w:val="30"/>
        </w:rPr>
        <w:t>3603 00 100 8</w:t>
      </w:r>
      <w:r w:rsidRP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52281">
        <w:rPr>
          <w:rFonts w:ascii="Times New Roman" w:hAnsi="Times New Roman" w:cs="Times New Roman"/>
          <w:sz w:val="30"/>
          <w:szCs w:val="30"/>
        </w:rPr>
        <w:t>– – – прочие</w:t>
      </w:r>
    </w:p>
    <w:p w:rsidR="00152281" w:rsidRPr="00152281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152281">
        <w:rPr>
          <w:rFonts w:ascii="Times New Roman" w:hAnsi="Times New Roman" w:cs="Times New Roman"/>
          <w:sz w:val="30"/>
          <w:szCs w:val="30"/>
        </w:rPr>
        <w:t>3603 00 900 2</w:t>
      </w:r>
      <w:r w:rsidRP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52281">
        <w:rPr>
          <w:rFonts w:ascii="Times New Roman" w:hAnsi="Times New Roman" w:cs="Times New Roman"/>
          <w:sz w:val="30"/>
          <w:szCs w:val="30"/>
        </w:rPr>
        <w:t>– – капсюли ударные</w:t>
      </w:r>
    </w:p>
    <w:p w:rsidR="00152281" w:rsidRPr="00152281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152281">
        <w:rPr>
          <w:rFonts w:ascii="Times New Roman" w:hAnsi="Times New Roman" w:cs="Times New Roman"/>
          <w:sz w:val="30"/>
          <w:szCs w:val="30"/>
        </w:rPr>
        <w:t>3603 00 900 3</w:t>
      </w:r>
      <w:r w:rsidRP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52281">
        <w:rPr>
          <w:rFonts w:ascii="Times New Roman" w:hAnsi="Times New Roman" w:cs="Times New Roman"/>
          <w:sz w:val="30"/>
          <w:szCs w:val="30"/>
        </w:rPr>
        <w:t>– – – неэлектрические</w:t>
      </w:r>
    </w:p>
    <w:p w:rsidR="00152281" w:rsidRPr="00152281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152281">
        <w:rPr>
          <w:rFonts w:ascii="Times New Roman" w:hAnsi="Times New Roman" w:cs="Times New Roman"/>
          <w:sz w:val="30"/>
          <w:szCs w:val="30"/>
        </w:rPr>
        <w:lastRenderedPageBreak/>
        <w:t>3603 00 900 4</w:t>
      </w:r>
      <w:r w:rsidRP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52281">
        <w:rPr>
          <w:rFonts w:ascii="Times New Roman" w:hAnsi="Times New Roman" w:cs="Times New Roman"/>
          <w:sz w:val="30"/>
          <w:szCs w:val="30"/>
        </w:rPr>
        <w:t>– – – прочие</w:t>
      </w:r>
    </w:p>
    <w:p w:rsidR="00152281" w:rsidRPr="00152281" w:rsidRDefault="00152281" w:rsidP="00152281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  <w:r w:rsidRPr="00152281">
        <w:rPr>
          <w:rFonts w:ascii="Times New Roman" w:hAnsi="Times New Roman" w:cs="Times New Roman"/>
          <w:sz w:val="30"/>
          <w:szCs w:val="30"/>
        </w:rPr>
        <w:t>3603 00 900 5</w:t>
      </w:r>
      <w:r w:rsidRP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52281">
        <w:rPr>
          <w:rFonts w:ascii="Times New Roman" w:hAnsi="Times New Roman" w:cs="Times New Roman"/>
          <w:sz w:val="30"/>
          <w:szCs w:val="30"/>
        </w:rPr>
        <w:t>– – запалы</w:t>
      </w:r>
    </w:p>
    <w:p w:rsidR="00152281" w:rsidRPr="00B84C2F" w:rsidRDefault="00152281" w:rsidP="00152281">
      <w:pPr>
        <w:spacing w:after="0" w:line="36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 w:rsidRPr="00152281">
        <w:rPr>
          <w:rFonts w:ascii="Times New Roman" w:hAnsi="Times New Roman" w:cs="Times New Roman"/>
          <w:sz w:val="30"/>
          <w:szCs w:val="30"/>
        </w:rPr>
        <w:t>3603 00 900 6</w:t>
      </w:r>
      <w:r w:rsidRP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152281">
        <w:rPr>
          <w:rFonts w:ascii="Times New Roman" w:hAnsi="Times New Roman" w:cs="Times New Roman"/>
          <w:sz w:val="30"/>
          <w:szCs w:val="30"/>
        </w:rPr>
        <w:t>– – электродетонаторы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FA14FA" w:rsidRDefault="00152281" w:rsidP="00FA14FA">
      <w:pPr>
        <w:spacing w:after="0" w:line="36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FA14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 Внести в п</w:t>
      </w:r>
      <w:r w:rsidR="00FA14FA"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>ереч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ень</w:t>
      </w:r>
      <w:r w:rsidR="00FA14FA"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союза, утвержденн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ый</w:t>
      </w:r>
      <w:r w:rsidR="00FA14FA"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Решением Коллегии Евразийской экономической комиссии от 30 июня 2015 г. № 68</w:t>
      </w:r>
      <w:r w:rsidR="00FA14FA">
        <w:rPr>
          <w:rFonts w:ascii="Times New Roman" w:eastAsia="Calibri" w:hAnsi="Times New Roman" w:cs="Times New Roman"/>
          <w:color w:val="000000"/>
          <w:sz w:val="30"/>
          <w:szCs w:val="28"/>
        </w:rPr>
        <w:t>, следующие изменения:</w:t>
      </w:r>
    </w:p>
    <w:p w:rsidR="00FA14FA" w:rsidRPr="00947A5A" w:rsidRDefault="00FA14FA" w:rsidP="00FA14FA">
      <w:pPr>
        <w:spacing w:after="0" w:line="360" w:lineRule="auto"/>
        <w:ind w:firstLine="697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proofErr w:type="gramStart"/>
      <w:r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>позици</w:t>
      </w:r>
      <w:r w:rsidR="00575871">
        <w:rPr>
          <w:rFonts w:ascii="Times New Roman" w:eastAsia="Calibri" w:hAnsi="Times New Roman" w:cs="Times New Roman"/>
          <w:color w:val="000000"/>
          <w:sz w:val="30"/>
          <w:szCs w:val="28"/>
        </w:rPr>
        <w:t>и</w:t>
      </w:r>
      <w:proofErr w:type="gramEnd"/>
      <w:r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с код</w:t>
      </w:r>
      <w:r w:rsidR="00575871">
        <w:rPr>
          <w:rFonts w:ascii="Times New Roman" w:eastAsia="Calibri" w:hAnsi="Times New Roman" w:cs="Times New Roman"/>
          <w:color w:val="000000"/>
          <w:sz w:val="30"/>
          <w:szCs w:val="28"/>
        </w:rPr>
        <w:t>ами</w:t>
      </w:r>
      <w:r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</w:t>
      </w:r>
      <w:r w:rsidR="00575871">
        <w:rPr>
          <w:rFonts w:ascii="Times New Roman" w:eastAsia="Calibri" w:hAnsi="Times New Roman" w:cs="Times New Roman"/>
          <w:color w:val="000000"/>
          <w:sz w:val="30"/>
          <w:szCs w:val="28"/>
        </w:rPr>
        <w:t>3603 00 100 9 и 3603 00 900 1</w:t>
      </w:r>
      <w:r w:rsidRPr="00947A5A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ТН ВЭД ЕАЭС заменить позициями следующего содержания: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578"/>
        <w:gridCol w:w="425"/>
        <w:gridCol w:w="425"/>
        <w:gridCol w:w="425"/>
        <w:gridCol w:w="426"/>
        <w:gridCol w:w="425"/>
        <w:gridCol w:w="1951"/>
      </w:tblGrid>
      <w:tr w:rsidR="002B44CB" w:rsidRPr="001A5C69" w:rsidTr="002B44CB">
        <w:trPr>
          <w:trHeight w:val="300"/>
        </w:trPr>
        <w:tc>
          <w:tcPr>
            <w:tcW w:w="198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right="-108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«3603 00 100 2</w:t>
            </w:r>
          </w:p>
        </w:tc>
        <w:tc>
          <w:tcPr>
            <w:tcW w:w="3578" w:type="dxa"/>
            <w:shd w:val="clear" w:color="auto" w:fill="auto"/>
          </w:tcPr>
          <w:p w:rsidR="002B44CB" w:rsidRPr="00152281" w:rsidRDefault="002B44CB" w:rsidP="002B44CB">
            <w:pPr>
              <w:spacing w:after="0" w:line="240" w:lineRule="auto"/>
              <w:ind w:left="493" w:hanging="493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 –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шнуры огнепроводные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2B44CB" w:rsidRPr="00152281" w:rsidRDefault="002B44CB" w:rsidP="002B44CB">
            <w:pPr>
              <w:tabs>
                <w:tab w:val="left" w:pos="299"/>
              </w:tabs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ставка</w:t>
            </w:r>
            <w:proofErr w:type="gramEnd"/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ЕТТ</w:t>
            </w:r>
          </w:p>
        </w:tc>
      </w:tr>
      <w:tr w:rsidR="002B44CB" w:rsidRPr="001A5C69" w:rsidTr="00890E77">
        <w:trPr>
          <w:trHeight w:val="300"/>
        </w:trPr>
        <w:tc>
          <w:tcPr>
            <w:tcW w:w="198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right="-108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3603 00 100 8</w:t>
            </w:r>
          </w:p>
        </w:tc>
        <w:tc>
          <w:tcPr>
            <w:tcW w:w="3578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 – – прочие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2B44CB" w:rsidRPr="00152281" w:rsidRDefault="002B44CB" w:rsidP="002B44CB">
            <w:pPr>
              <w:tabs>
                <w:tab w:val="left" w:pos="299"/>
              </w:tabs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ставка</w:t>
            </w:r>
            <w:proofErr w:type="gramEnd"/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ЕТТ</w:t>
            </w:r>
          </w:p>
        </w:tc>
      </w:tr>
      <w:tr w:rsidR="002B44CB" w:rsidRPr="001A5C69" w:rsidTr="00890E77">
        <w:trPr>
          <w:trHeight w:val="300"/>
        </w:trPr>
        <w:tc>
          <w:tcPr>
            <w:tcW w:w="198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3603 00 900 3</w:t>
            </w:r>
          </w:p>
        </w:tc>
        <w:tc>
          <w:tcPr>
            <w:tcW w:w="3578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 – – неэлектрические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B44CB" w:rsidRPr="00152281" w:rsidRDefault="002B44CB" w:rsidP="002B44CB">
            <w:pPr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2B44CB" w:rsidRPr="00152281" w:rsidRDefault="002B44CB" w:rsidP="002B44CB">
            <w:pPr>
              <w:tabs>
                <w:tab w:val="left" w:pos="299"/>
              </w:tabs>
              <w:spacing w:after="0" w:line="360" w:lineRule="auto"/>
              <w:ind w:left="1735" w:hanging="17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ставка</w:t>
            </w:r>
            <w:proofErr w:type="gramEnd"/>
            <w:r w:rsidRPr="0015228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ЕТТ».</w:t>
            </w:r>
          </w:p>
        </w:tc>
      </w:tr>
    </w:tbl>
    <w:p w:rsidR="0072398E" w:rsidRDefault="00D168ED" w:rsidP="00B43DF2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522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B33399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с даты вступления в силу </w:t>
      </w:r>
      <w:r w:rsidR="00E731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ешения Совета Евразийской экономической комиссии </w:t>
      </w:r>
      <w:r w:rsidR="00E731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внесении изменени</w:t>
      </w:r>
      <w:r w:rsidR="00E733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E7311D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r w:rsidR="00E7311D"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раздел II перечня товаров, происходящих</w:t>
      </w:r>
      <w:r w:rsidR="00E7311D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 развивающихся стран или из наименее развитых стран, в отношении </w:t>
      </w:r>
      <w:r w:rsidR="00E7311D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которых при ввозе на таможенную территорию Евразийского экономического союза предоставляются тарифные </w:t>
      </w:r>
      <w:proofErr w:type="gramStart"/>
      <w:r w:rsidR="00E7311D"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>преференции</w:t>
      </w:r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в</w:t>
      </w:r>
      <w:proofErr w:type="gramEnd"/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отношении</w:t>
      </w:r>
      <w:r w:rsidR="004D102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D1020" w:rsidRPr="004D10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шнуров огнепроводных, шнуров детонирующих, капсюлей ударных, капсюлей детонирующих, запалов и электродетонаторов</w:t>
      </w:r>
      <w:r w:rsidR="00E7311D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7311D" w:rsidRPr="00CE0737" w:rsidRDefault="00E7311D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CE0737" w:rsidTr="003A7D2B">
        <w:tc>
          <w:tcPr>
            <w:tcW w:w="5387" w:type="dxa"/>
            <w:shd w:val="clear" w:color="auto" w:fill="auto"/>
          </w:tcPr>
          <w:p w:rsidR="0072398E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2E713B" w:rsidRPr="009F49FB" w:rsidRDefault="002E713B" w:rsidP="006C5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6C5AF3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A0" w:rsidRDefault="00C27AA0" w:rsidP="00AE1863">
      <w:pPr>
        <w:spacing w:after="0" w:line="240" w:lineRule="auto"/>
      </w:pPr>
      <w:r>
        <w:separator/>
      </w:r>
    </w:p>
  </w:endnote>
  <w:endnote w:type="continuationSeparator" w:id="0">
    <w:p w:rsidR="00C27AA0" w:rsidRDefault="00C27AA0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A0" w:rsidRDefault="00C27AA0" w:rsidP="00AE1863">
      <w:pPr>
        <w:spacing w:after="0" w:line="240" w:lineRule="auto"/>
      </w:pPr>
      <w:r>
        <w:separator/>
      </w:r>
    </w:p>
  </w:footnote>
  <w:footnote w:type="continuationSeparator" w:id="0">
    <w:p w:rsidR="00C27AA0" w:rsidRDefault="00C27AA0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25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16247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C27AA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5D9F"/>
    <w:rsid w:val="00010264"/>
    <w:rsid w:val="00031E0F"/>
    <w:rsid w:val="00044F00"/>
    <w:rsid w:val="00045013"/>
    <w:rsid w:val="0004577F"/>
    <w:rsid w:val="00052FD1"/>
    <w:rsid w:val="000717B7"/>
    <w:rsid w:val="000B486F"/>
    <w:rsid w:val="000C0369"/>
    <w:rsid w:val="000D22F3"/>
    <w:rsid w:val="000D3999"/>
    <w:rsid w:val="000F4E99"/>
    <w:rsid w:val="000F7E80"/>
    <w:rsid w:val="00100620"/>
    <w:rsid w:val="00104B72"/>
    <w:rsid w:val="00122719"/>
    <w:rsid w:val="00152281"/>
    <w:rsid w:val="00173FCC"/>
    <w:rsid w:val="00176EBC"/>
    <w:rsid w:val="001A48AE"/>
    <w:rsid w:val="001B2F31"/>
    <w:rsid w:val="001C1718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6084"/>
    <w:rsid w:val="00243064"/>
    <w:rsid w:val="00247060"/>
    <w:rsid w:val="00260886"/>
    <w:rsid w:val="002751A4"/>
    <w:rsid w:val="00280B0D"/>
    <w:rsid w:val="00281D49"/>
    <w:rsid w:val="00283D5C"/>
    <w:rsid w:val="002A2B5B"/>
    <w:rsid w:val="002A43F1"/>
    <w:rsid w:val="002B0B8C"/>
    <w:rsid w:val="002B2B36"/>
    <w:rsid w:val="002B3D52"/>
    <w:rsid w:val="002B44CB"/>
    <w:rsid w:val="002B7FB3"/>
    <w:rsid w:val="002C1AB1"/>
    <w:rsid w:val="002D32DD"/>
    <w:rsid w:val="002E713B"/>
    <w:rsid w:val="002F64DF"/>
    <w:rsid w:val="00312533"/>
    <w:rsid w:val="00317BFA"/>
    <w:rsid w:val="00325241"/>
    <w:rsid w:val="00333D1B"/>
    <w:rsid w:val="003439D1"/>
    <w:rsid w:val="00345163"/>
    <w:rsid w:val="003474A0"/>
    <w:rsid w:val="00365847"/>
    <w:rsid w:val="00365DC6"/>
    <w:rsid w:val="003754D0"/>
    <w:rsid w:val="00375E64"/>
    <w:rsid w:val="003769AA"/>
    <w:rsid w:val="00385C4E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7256"/>
    <w:rsid w:val="00414656"/>
    <w:rsid w:val="00414D08"/>
    <w:rsid w:val="00430135"/>
    <w:rsid w:val="00440376"/>
    <w:rsid w:val="004412DD"/>
    <w:rsid w:val="0045318A"/>
    <w:rsid w:val="00460F92"/>
    <w:rsid w:val="0046401D"/>
    <w:rsid w:val="00464EFF"/>
    <w:rsid w:val="00473E75"/>
    <w:rsid w:val="00492414"/>
    <w:rsid w:val="00494DAA"/>
    <w:rsid w:val="004A59DD"/>
    <w:rsid w:val="004A7182"/>
    <w:rsid w:val="004C3863"/>
    <w:rsid w:val="004C415C"/>
    <w:rsid w:val="004D1020"/>
    <w:rsid w:val="004D1376"/>
    <w:rsid w:val="004E03A7"/>
    <w:rsid w:val="004F620B"/>
    <w:rsid w:val="005001AB"/>
    <w:rsid w:val="00511284"/>
    <w:rsid w:val="00534B6D"/>
    <w:rsid w:val="00534D28"/>
    <w:rsid w:val="005419C7"/>
    <w:rsid w:val="00550480"/>
    <w:rsid w:val="00562371"/>
    <w:rsid w:val="0057495B"/>
    <w:rsid w:val="00575871"/>
    <w:rsid w:val="005A7071"/>
    <w:rsid w:val="005B4C32"/>
    <w:rsid w:val="005C39BD"/>
    <w:rsid w:val="005C73DD"/>
    <w:rsid w:val="005E153E"/>
    <w:rsid w:val="005F0B17"/>
    <w:rsid w:val="00606CA5"/>
    <w:rsid w:val="0061156B"/>
    <w:rsid w:val="00616247"/>
    <w:rsid w:val="0062785F"/>
    <w:rsid w:val="006278ED"/>
    <w:rsid w:val="00633CCB"/>
    <w:rsid w:val="0064724D"/>
    <w:rsid w:val="00652BA4"/>
    <w:rsid w:val="006535A4"/>
    <w:rsid w:val="006843AD"/>
    <w:rsid w:val="00685482"/>
    <w:rsid w:val="006A1D18"/>
    <w:rsid w:val="006B2C60"/>
    <w:rsid w:val="006C5AF3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62685"/>
    <w:rsid w:val="007932E2"/>
    <w:rsid w:val="00797E7A"/>
    <w:rsid w:val="007B2321"/>
    <w:rsid w:val="007B30F1"/>
    <w:rsid w:val="007C259D"/>
    <w:rsid w:val="007C65FF"/>
    <w:rsid w:val="007D00DA"/>
    <w:rsid w:val="007E6578"/>
    <w:rsid w:val="008151F4"/>
    <w:rsid w:val="008631F7"/>
    <w:rsid w:val="00865B4C"/>
    <w:rsid w:val="00872235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9066BC"/>
    <w:rsid w:val="009400E9"/>
    <w:rsid w:val="0094169A"/>
    <w:rsid w:val="009463BD"/>
    <w:rsid w:val="00961800"/>
    <w:rsid w:val="009675D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F1C05"/>
    <w:rsid w:val="009F6027"/>
    <w:rsid w:val="00A01156"/>
    <w:rsid w:val="00A2427E"/>
    <w:rsid w:val="00A256CE"/>
    <w:rsid w:val="00A26909"/>
    <w:rsid w:val="00A2714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216A"/>
    <w:rsid w:val="00AF4E1C"/>
    <w:rsid w:val="00AF6A4D"/>
    <w:rsid w:val="00AF7188"/>
    <w:rsid w:val="00B148EC"/>
    <w:rsid w:val="00B260BD"/>
    <w:rsid w:val="00B26EB3"/>
    <w:rsid w:val="00B33399"/>
    <w:rsid w:val="00B43DF2"/>
    <w:rsid w:val="00BA2DDA"/>
    <w:rsid w:val="00BA4A8F"/>
    <w:rsid w:val="00BB231F"/>
    <w:rsid w:val="00BB6E19"/>
    <w:rsid w:val="00BC519C"/>
    <w:rsid w:val="00BD21F5"/>
    <w:rsid w:val="00BE4E39"/>
    <w:rsid w:val="00BF3647"/>
    <w:rsid w:val="00BF6DB2"/>
    <w:rsid w:val="00C13125"/>
    <w:rsid w:val="00C27AA0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A6779"/>
    <w:rsid w:val="00CB06DE"/>
    <w:rsid w:val="00CC466E"/>
    <w:rsid w:val="00CD3242"/>
    <w:rsid w:val="00CE0737"/>
    <w:rsid w:val="00CE715C"/>
    <w:rsid w:val="00CF424C"/>
    <w:rsid w:val="00D00749"/>
    <w:rsid w:val="00D00C16"/>
    <w:rsid w:val="00D168ED"/>
    <w:rsid w:val="00D22FC6"/>
    <w:rsid w:val="00D30E79"/>
    <w:rsid w:val="00D317A7"/>
    <w:rsid w:val="00D56A47"/>
    <w:rsid w:val="00D57BA4"/>
    <w:rsid w:val="00D626CF"/>
    <w:rsid w:val="00D85954"/>
    <w:rsid w:val="00DB7A83"/>
    <w:rsid w:val="00DC1E07"/>
    <w:rsid w:val="00DC45F0"/>
    <w:rsid w:val="00DD485C"/>
    <w:rsid w:val="00DE7532"/>
    <w:rsid w:val="00E10E40"/>
    <w:rsid w:val="00E216D4"/>
    <w:rsid w:val="00E54B8A"/>
    <w:rsid w:val="00E7311D"/>
    <w:rsid w:val="00E73319"/>
    <w:rsid w:val="00E91C81"/>
    <w:rsid w:val="00EA1328"/>
    <w:rsid w:val="00EA1E65"/>
    <w:rsid w:val="00EA4194"/>
    <w:rsid w:val="00EA5414"/>
    <w:rsid w:val="00EB1730"/>
    <w:rsid w:val="00EC0F45"/>
    <w:rsid w:val="00EF0AD8"/>
    <w:rsid w:val="00F03DF6"/>
    <w:rsid w:val="00F03FF3"/>
    <w:rsid w:val="00F3238A"/>
    <w:rsid w:val="00F32B0C"/>
    <w:rsid w:val="00F352B4"/>
    <w:rsid w:val="00F35DC2"/>
    <w:rsid w:val="00F51D10"/>
    <w:rsid w:val="00F54508"/>
    <w:rsid w:val="00F63609"/>
    <w:rsid w:val="00F6745B"/>
    <w:rsid w:val="00F729A6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8284-0C22-4703-B7B7-C43748B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CED429D-C9E4-4A69-839C-A99093CD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11</cp:revision>
  <cp:lastPrinted>2019-12-19T08:09:00Z</cp:lastPrinted>
  <dcterms:created xsi:type="dcterms:W3CDTF">2019-05-17T09:13:00Z</dcterms:created>
  <dcterms:modified xsi:type="dcterms:W3CDTF">2019-12-19T13:07:00Z</dcterms:modified>
</cp:coreProperties>
</file>