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8F" w:rsidRPr="007B4C8F" w:rsidRDefault="007B4C8F" w:rsidP="007B4C8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B3D23" w:rsidRPr="007B4C8F" w:rsidRDefault="007B4C8F" w:rsidP="00BB3D23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7B4C8F">
        <w:rPr>
          <w:rFonts w:ascii="Times New Roman Полужирный" w:hAnsi="Times New Roman Полужирный"/>
          <w:b/>
          <w:spacing w:val="40"/>
          <w:sz w:val="28"/>
          <w:szCs w:val="28"/>
        </w:rPr>
        <w:t>ПАСПОРТ</w:t>
      </w:r>
    </w:p>
    <w:p w:rsidR="0094559D" w:rsidRPr="007B4C8F" w:rsidRDefault="007B4C8F" w:rsidP="00B00D48">
      <w:pPr>
        <w:spacing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</w:pPr>
      <w:r w:rsidRPr="007B4C8F"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  <w:t>общ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  <w:t>его</w:t>
      </w:r>
      <w:r w:rsidRPr="007B4C8F"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  <w:t xml:space="preserve"> процесс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  <w:t xml:space="preserve">а </w:t>
      </w:r>
      <w:r w:rsidRPr="007B4C8F"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  <w:t>в рамках Евразийского экономического союза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7B4C8F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7B4C8F" w:rsidRPr="00906603" w:rsidRDefault="007B4C8F" w:rsidP="007B4C8F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7B4C8F" w:rsidRPr="00E745A2" w:rsidRDefault="002D3447" w:rsidP="009949CE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D3447">
              <w:rPr>
                <w:rFonts w:ascii="Times New Roman" w:hAnsi="Times New Roman"/>
                <w:color w:val="000000"/>
              </w:rPr>
              <w:t>Формирование, ведение и использование информации, включающей в себя показатели, используемые в рамках Евразийского экономического союза</w:t>
            </w:r>
            <w:r w:rsidR="00035784">
              <w:rPr>
                <w:rFonts w:ascii="Times New Roman" w:hAnsi="Times New Roman"/>
                <w:color w:val="000000"/>
              </w:rPr>
              <w:t xml:space="preserve"> (далее – Союз)</w:t>
            </w:r>
            <w:r w:rsidRPr="002D3447">
              <w:rPr>
                <w:rFonts w:ascii="Times New Roman" w:hAnsi="Times New Roman"/>
                <w:color w:val="000000"/>
              </w:rPr>
              <w:t xml:space="preserve"> и в государствах</w:t>
            </w:r>
            <w:r w:rsidR="00985BD2">
              <w:rPr>
                <w:rFonts w:ascii="Times New Roman" w:hAnsi="Times New Roman"/>
                <w:color w:val="000000"/>
              </w:rPr>
              <w:t xml:space="preserve"> – </w:t>
            </w:r>
            <w:r w:rsidRPr="002D3447">
              <w:rPr>
                <w:rFonts w:ascii="Times New Roman" w:hAnsi="Times New Roman"/>
                <w:color w:val="000000"/>
              </w:rPr>
              <w:t xml:space="preserve">членах </w:t>
            </w:r>
            <w:r w:rsidR="00035784">
              <w:rPr>
                <w:rFonts w:ascii="Times New Roman" w:hAnsi="Times New Roman"/>
                <w:color w:val="000000"/>
              </w:rPr>
              <w:t>С</w:t>
            </w:r>
            <w:r w:rsidRPr="002D3447">
              <w:rPr>
                <w:rFonts w:ascii="Times New Roman" w:hAnsi="Times New Roman"/>
                <w:color w:val="000000"/>
              </w:rPr>
              <w:t>оюза</w:t>
            </w:r>
            <w:r w:rsidR="00985BD2">
              <w:rPr>
                <w:rFonts w:ascii="Times New Roman" w:hAnsi="Times New Roman"/>
                <w:color w:val="000000"/>
              </w:rPr>
              <w:t xml:space="preserve"> (далее – государства-члены)</w:t>
            </w:r>
            <w:r w:rsidRPr="002D3447">
              <w:rPr>
                <w:rFonts w:ascii="Times New Roman" w:hAnsi="Times New Roman"/>
                <w:color w:val="000000"/>
              </w:rPr>
              <w:t>, характеризующие добычу, производство, потребление, импорт, экспорт и поставки газа, в том числе взаимные, для удовлетворения внутренних потребностей государств</w:t>
            </w:r>
            <w:r w:rsidR="00985BD2">
              <w:rPr>
                <w:rFonts w:ascii="Times New Roman" w:hAnsi="Times New Roman"/>
                <w:color w:val="000000"/>
              </w:rPr>
              <w:t>-</w:t>
            </w:r>
            <w:r w:rsidRPr="002D3447">
              <w:rPr>
                <w:rFonts w:ascii="Times New Roman" w:hAnsi="Times New Roman"/>
                <w:color w:val="000000"/>
              </w:rPr>
              <w:t>членов на территориях государств</w:t>
            </w:r>
            <w:r w:rsidR="00035784">
              <w:rPr>
                <w:rFonts w:ascii="Times New Roman" w:hAnsi="Times New Roman"/>
                <w:color w:val="000000"/>
              </w:rPr>
              <w:t xml:space="preserve"> – </w:t>
            </w:r>
            <w:r w:rsidR="00985BD2">
              <w:rPr>
                <w:rFonts w:ascii="Times New Roman" w:hAnsi="Times New Roman"/>
                <w:color w:val="000000"/>
              </w:rPr>
              <w:t>членов.</w:t>
            </w:r>
          </w:p>
        </w:tc>
      </w:tr>
      <w:tr w:rsidR="007B4C8F" w:rsidRPr="0087191B" w:rsidTr="0065286D">
        <w:trPr>
          <w:trHeight w:val="6839"/>
        </w:trPr>
        <w:tc>
          <w:tcPr>
            <w:tcW w:w="3085" w:type="dxa"/>
            <w:tcMar>
              <w:top w:w="113" w:type="dxa"/>
              <w:bottom w:w="113" w:type="dxa"/>
            </w:tcMar>
          </w:tcPr>
          <w:p w:rsidR="007B4C8F" w:rsidRPr="00906603" w:rsidRDefault="0087191B" w:rsidP="00906603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 xml:space="preserve">Цели и </w:t>
            </w:r>
            <w:r w:rsidR="00906603" w:rsidRPr="00906603">
              <w:rPr>
                <w:rFonts w:ascii="Times New Roman" w:hAnsi="Times New Roman"/>
                <w:color w:val="000000"/>
              </w:rPr>
              <w:t>задачи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906603" w:rsidRDefault="00906603" w:rsidP="00A220B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Цели: </w:t>
            </w:r>
          </w:p>
          <w:p w:rsidR="00035784" w:rsidRDefault="00035784" w:rsidP="006C558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Реализация</w:t>
            </w:r>
            <w:r w:rsidR="001A7ECB">
              <w:rPr>
                <w:rFonts w:ascii="Times New Roman" w:hAnsi="Times New Roman"/>
                <w:color w:val="000000"/>
              </w:rPr>
              <w:t xml:space="preserve"> элементов</w:t>
            </w:r>
            <w:r>
              <w:rPr>
                <w:rFonts w:ascii="Times New Roman" w:hAnsi="Times New Roman"/>
                <w:color w:val="000000"/>
              </w:rPr>
              <w:t xml:space="preserve"> системы информационного обмена </w:t>
            </w:r>
            <w:r w:rsidRPr="00035784">
              <w:rPr>
                <w:rFonts w:ascii="Times New Roman" w:hAnsi="Times New Roman"/>
                <w:color w:val="000000"/>
              </w:rPr>
              <w:t xml:space="preserve">для обеспечения информационного взаимодействия в рамках </w:t>
            </w:r>
            <w:r w:rsidR="00496D4B">
              <w:rPr>
                <w:rFonts w:ascii="Times New Roman" w:hAnsi="Times New Roman"/>
                <w:color w:val="000000"/>
              </w:rPr>
              <w:t xml:space="preserve">формирования </w:t>
            </w:r>
            <w:r w:rsidRPr="00035784">
              <w:rPr>
                <w:rFonts w:ascii="Times New Roman" w:hAnsi="Times New Roman"/>
                <w:color w:val="000000"/>
              </w:rPr>
              <w:t>общего рынка газа</w:t>
            </w:r>
            <w:r w:rsidR="00985BD2">
              <w:rPr>
                <w:rFonts w:ascii="Times New Roman" w:hAnsi="Times New Roman"/>
                <w:color w:val="000000"/>
              </w:rPr>
              <w:t xml:space="preserve"> Союза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6C5586" w:rsidRDefault="006C277F" w:rsidP="006C558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6C277F">
              <w:rPr>
                <w:rFonts w:ascii="Times New Roman" w:hAnsi="Times New Roman"/>
                <w:color w:val="000000"/>
              </w:rPr>
              <w:t>ффективное использование совокупного потенциала</w:t>
            </w:r>
            <w:r w:rsidR="009D0E8B">
              <w:rPr>
                <w:rFonts w:ascii="Times New Roman" w:hAnsi="Times New Roman"/>
                <w:color w:val="000000"/>
              </w:rPr>
              <w:t xml:space="preserve"> в газовой сфере</w:t>
            </w:r>
            <w:r w:rsidRPr="006C277F">
              <w:rPr>
                <w:rFonts w:ascii="Times New Roman" w:hAnsi="Times New Roman"/>
                <w:color w:val="000000"/>
              </w:rPr>
              <w:t xml:space="preserve"> </w:t>
            </w:r>
            <w:r w:rsidR="00985BD2" w:rsidRPr="002D3447">
              <w:rPr>
                <w:rFonts w:ascii="Times New Roman" w:hAnsi="Times New Roman"/>
                <w:color w:val="000000"/>
              </w:rPr>
              <w:t>государств</w:t>
            </w:r>
            <w:r w:rsidR="00985BD2">
              <w:rPr>
                <w:rFonts w:ascii="Times New Roman" w:hAnsi="Times New Roman"/>
                <w:color w:val="000000"/>
              </w:rPr>
              <w:t>-</w:t>
            </w:r>
            <w:r w:rsidR="00985BD2" w:rsidRPr="002D3447">
              <w:rPr>
                <w:rFonts w:ascii="Times New Roman" w:hAnsi="Times New Roman"/>
                <w:color w:val="000000"/>
              </w:rPr>
              <w:t>членов</w:t>
            </w:r>
            <w:r w:rsidRPr="006C277F">
              <w:rPr>
                <w:rFonts w:ascii="Times New Roman" w:hAnsi="Times New Roman"/>
                <w:color w:val="000000"/>
              </w:rPr>
              <w:t>, оптимизаци</w:t>
            </w:r>
            <w:r w:rsidR="00035784">
              <w:rPr>
                <w:rFonts w:ascii="Times New Roman" w:hAnsi="Times New Roman"/>
                <w:color w:val="000000"/>
              </w:rPr>
              <w:t>я</w:t>
            </w:r>
            <w:r w:rsidRPr="006C277F">
              <w:rPr>
                <w:rFonts w:ascii="Times New Roman" w:hAnsi="Times New Roman"/>
                <w:color w:val="000000"/>
              </w:rPr>
              <w:t xml:space="preserve"> межгосударственных поставок </w:t>
            </w:r>
            <w:r w:rsidR="009D0E8B">
              <w:rPr>
                <w:rFonts w:ascii="Times New Roman" w:hAnsi="Times New Roman"/>
                <w:color w:val="000000"/>
              </w:rPr>
              <w:t>газа;</w:t>
            </w:r>
          </w:p>
          <w:p w:rsidR="006C277F" w:rsidRDefault="005D39D2" w:rsidP="006C558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6C277F" w:rsidRPr="006C277F">
              <w:rPr>
                <w:rFonts w:ascii="Times New Roman" w:hAnsi="Times New Roman"/>
                <w:color w:val="000000"/>
              </w:rPr>
              <w:t>рогно</w:t>
            </w:r>
            <w:r>
              <w:rPr>
                <w:rFonts w:ascii="Times New Roman" w:hAnsi="Times New Roman"/>
                <w:color w:val="000000"/>
              </w:rPr>
              <w:t>зирование и планирование баланса газа</w:t>
            </w:r>
            <w:r w:rsidR="00035784">
              <w:rPr>
                <w:rFonts w:ascii="Times New Roman" w:hAnsi="Times New Roman"/>
                <w:color w:val="000000"/>
              </w:rPr>
              <w:t>;</w:t>
            </w:r>
          </w:p>
          <w:p w:rsidR="00974E52" w:rsidRDefault="00974E52" w:rsidP="006C558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974E52">
              <w:rPr>
                <w:rFonts w:ascii="Times New Roman" w:hAnsi="Times New Roman"/>
                <w:color w:val="000000"/>
              </w:rPr>
              <w:t>беспечени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974E52">
              <w:rPr>
                <w:rFonts w:ascii="Times New Roman" w:hAnsi="Times New Roman"/>
                <w:color w:val="000000"/>
              </w:rPr>
              <w:t xml:space="preserve"> бесперебойного функционирования систем транспортировки газа</w:t>
            </w:r>
            <w:r w:rsidR="00035784">
              <w:rPr>
                <w:rFonts w:ascii="Times New Roman" w:hAnsi="Times New Roman"/>
                <w:color w:val="000000"/>
              </w:rPr>
              <w:t>.</w:t>
            </w:r>
            <w:r w:rsidRPr="00974E52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44B42" w:rsidRDefault="00344B42" w:rsidP="006A6EE0">
            <w:pPr>
              <w:spacing w:after="120"/>
              <w:rPr>
                <w:rFonts w:ascii="Times New Roman" w:hAnsi="Times New Roman"/>
                <w:color w:val="000000"/>
              </w:rPr>
            </w:pPr>
          </w:p>
          <w:p w:rsidR="00906603" w:rsidRDefault="00906603" w:rsidP="00A220B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Задачи:</w:t>
            </w:r>
          </w:p>
          <w:p w:rsidR="00035784" w:rsidRDefault="00035784" w:rsidP="00BA77E6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324ED">
              <w:rPr>
                <w:rFonts w:ascii="Times New Roman" w:hAnsi="Times New Roman"/>
                <w:color w:val="000000"/>
              </w:rPr>
              <w:t xml:space="preserve">Осуществление взаимодействия уполномоченных органов </w:t>
            </w:r>
            <w:r w:rsidR="00496D4B" w:rsidRPr="002D3447">
              <w:rPr>
                <w:rFonts w:ascii="Times New Roman" w:hAnsi="Times New Roman"/>
                <w:color w:val="000000"/>
              </w:rPr>
              <w:t>государств</w:t>
            </w:r>
            <w:r w:rsidR="00496D4B">
              <w:rPr>
                <w:rFonts w:ascii="Times New Roman" w:hAnsi="Times New Roman"/>
                <w:color w:val="000000"/>
              </w:rPr>
              <w:t>-</w:t>
            </w:r>
            <w:r w:rsidR="00496D4B" w:rsidRPr="002D3447">
              <w:rPr>
                <w:rFonts w:ascii="Times New Roman" w:hAnsi="Times New Roman"/>
                <w:color w:val="000000"/>
              </w:rPr>
              <w:t>членов</w:t>
            </w:r>
            <w:r w:rsidRPr="007324ED">
              <w:rPr>
                <w:rFonts w:ascii="Times New Roman" w:hAnsi="Times New Roman"/>
                <w:color w:val="000000"/>
              </w:rPr>
              <w:t xml:space="preserve"> и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7324ED">
              <w:rPr>
                <w:rFonts w:ascii="Times New Roman" w:hAnsi="Times New Roman"/>
                <w:color w:val="000000"/>
              </w:rPr>
              <w:t>омиссией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344B42" w:rsidRDefault="00D22B25" w:rsidP="00BA77E6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="001A7ECB">
              <w:rPr>
                <w:rFonts w:ascii="Times New Roman" w:hAnsi="Times New Roman"/>
                <w:color w:val="000000"/>
              </w:rPr>
              <w:t xml:space="preserve">нификация </w:t>
            </w:r>
            <w:r w:rsidRPr="006C277F">
              <w:rPr>
                <w:rFonts w:ascii="Times New Roman" w:hAnsi="Times New Roman"/>
                <w:color w:val="000000"/>
              </w:rPr>
              <w:t>подход</w:t>
            </w:r>
            <w:r w:rsidR="001A7ECB">
              <w:rPr>
                <w:rFonts w:ascii="Times New Roman" w:hAnsi="Times New Roman"/>
                <w:color w:val="000000"/>
              </w:rPr>
              <w:t>ов</w:t>
            </w:r>
            <w:r w:rsidRPr="006C277F">
              <w:rPr>
                <w:rFonts w:ascii="Times New Roman" w:hAnsi="Times New Roman"/>
                <w:color w:val="000000"/>
              </w:rPr>
              <w:t xml:space="preserve"> государств-членов к составлению индикативных (прогнозных) баланс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6C277F">
              <w:rPr>
                <w:rFonts w:ascii="Times New Roman" w:hAnsi="Times New Roman"/>
                <w:color w:val="000000"/>
              </w:rPr>
              <w:t xml:space="preserve"> газа Союза и организ</w:t>
            </w:r>
            <w:r w:rsidR="00811D47">
              <w:rPr>
                <w:rFonts w:ascii="Times New Roman" w:hAnsi="Times New Roman"/>
                <w:color w:val="000000"/>
              </w:rPr>
              <w:t>ация</w:t>
            </w:r>
            <w:r w:rsidRPr="006C277F">
              <w:rPr>
                <w:rFonts w:ascii="Times New Roman" w:hAnsi="Times New Roman"/>
                <w:color w:val="000000"/>
              </w:rPr>
              <w:t xml:space="preserve"> системн</w:t>
            </w:r>
            <w:r w:rsidR="00811D47">
              <w:rPr>
                <w:rFonts w:ascii="Times New Roman" w:hAnsi="Times New Roman"/>
                <w:color w:val="000000"/>
              </w:rPr>
              <w:t>ой</w:t>
            </w:r>
            <w:r w:rsidRPr="006C277F">
              <w:rPr>
                <w:rFonts w:ascii="Times New Roman" w:hAnsi="Times New Roman"/>
                <w:color w:val="000000"/>
              </w:rPr>
              <w:t xml:space="preserve"> работ</w:t>
            </w:r>
            <w:r w:rsidR="00811D47">
              <w:rPr>
                <w:rFonts w:ascii="Times New Roman" w:hAnsi="Times New Roman"/>
                <w:color w:val="000000"/>
              </w:rPr>
              <w:t>ы</w:t>
            </w:r>
            <w:r w:rsidRPr="006C277F">
              <w:rPr>
                <w:rFonts w:ascii="Times New Roman" w:hAnsi="Times New Roman"/>
                <w:color w:val="000000"/>
              </w:rPr>
              <w:t xml:space="preserve"> по обеспечению разработки указанных балансов</w:t>
            </w:r>
            <w:r w:rsidR="007006F7">
              <w:rPr>
                <w:rFonts w:ascii="Times New Roman" w:hAnsi="Times New Roman"/>
                <w:color w:val="000000"/>
              </w:rPr>
              <w:t>;</w:t>
            </w:r>
          </w:p>
          <w:p w:rsidR="00C71550" w:rsidRPr="00C71550" w:rsidRDefault="00FA2005" w:rsidP="00C826CD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974E52">
              <w:rPr>
                <w:rFonts w:ascii="Times New Roman" w:hAnsi="Times New Roman"/>
                <w:color w:val="000000"/>
              </w:rPr>
              <w:t>овышени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974E52">
              <w:rPr>
                <w:rFonts w:ascii="Times New Roman" w:hAnsi="Times New Roman"/>
                <w:color w:val="000000"/>
              </w:rPr>
              <w:t xml:space="preserve"> надежности </w:t>
            </w:r>
            <w:r w:rsidR="00277CE3" w:rsidRPr="00277CE3">
              <w:rPr>
                <w:rFonts w:ascii="Times New Roman" w:hAnsi="Times New Roman"/>
                <w:color w:val="000000"/>
              </w:rPr>
              <w:t>газоснабжения</w:t>
            </w:r>
            <w:r w:rsidRPr="00974E52">
              <w:rPr>
                <w:rFonts w:ascii="Times New Roman" w:hAnsi="Times New Roman"/>
                <w:color w:val="000000"/>
              </w:rPr>
              <w:t xml:space="preserve"> потребителей государств Союза, </w:t>
            </w:r>
            <w:r w:rsidR="00496D4B">
              <w:rPr>
                <w:rFonts w:ascii="Times New Roman" w:hAnsi="Times New Roman"/>
                <w:color w:val="000000"/>
              </w:rPr>
              <w:t>оптимизация</w:t>
            </w:r>
            <w:r w:rsidRPr="00974E52">
              <w:rPr>
                <w:rFonts w:ascii="Times New Roman" w:hAnsi="Times New Roman"/>
                <w:color w:val="000000"/>
              </w:rPr>
              <w:t xml:space="preserve"> поставок </w:t>
            </w:r>
            <w:r>
              <w:rPr>
                <w:rFonts w:ascii="Times New Roman" w:hAnsi="Times New Roman"/>
                <w:color w:val="000000"/>
              </w:rPr>
              <w:t>газа</w:t>
            </w:r>
            <w:r w:rsidRPr="00974E52">
              <w:rPr>
                <w:rFonts w:ascii="Times New Roman" w:hAnsi="Times New Roman"/>
                <w:color w:val="000000"/>
              </w:rPr>
              <w:t xml:space="preserve"> между государствами Союза, обеспечени</w:t>
            </w:r>
            <w:r w:rsidR="00496D4B">
              <w:rPr>
                <w:rFonts w:ascii="Times New Roman" w:hAnsi="Times New Roman"/>
                <w:color w:val="000000"/>
              </w:rPr>
              <w:t>е</w:t>
            </w:r>
            <w:r w:rsidRPr="00974E52">
              <w:rPr>
                <w:rFonts w:ascii="Times New Roman" w:hAnsi="Times New Roman"/>
                <w:color w:val="000000"/>
              </w:rPr>
              <w:t xml:space="preserve"> спроса и предложения на внутренних рынках</w:t>
            </w:r>
            <w:r w:rsidR="005A2BD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B4C8F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7B4C8F" w:rsidRPr="00906603" w:rsidRDefault="0087191B" w:rsidP="00AF090F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>Ожидаемый результат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496D4B" w:rsidRDefault="00496D4B" w:rsidP="00756058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Информационный обмен </w:t>
            </w:r>
            <w:r w:rsidRPr="00035784">
              <w:rPr>
                <w:rFonts w:ascii="Times New Roman" w:hAnsi="Times New Roman"/>
                <w:color w:val="000000"/>
              </w:rPr>
              <w:t>в рамках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35784">
              <w:rPr>
                <w:rFonts w:ascii="Times New Roman" w:hAnsi="Times New Roman"/>
                <w:color w:val="000000"/>
              </w:rPr>
              <w:t>общего рынка газа</w:t>
            </w:r>
            <w:r>
              <w:rPr>
                <w:rFonts w:ascii="Times New Roman" w:hAnsi="Times New Roman"/>
                <w:color w:val="000000"/>
              </w:rPr>
              <w:t xml:space="preserve"> Союза</w:t>
            </w:r>
            <w:r w:rsidR="001A7ECB">
              <w:rPr>
                <w:rFonts w:ascii="Times New Roman" w:hAnsi="Times New Roman"/>
                <w:color w:val="000000"/>
              </w:rPr>
              <w:t xml:space="preserve"> в части общего процесса</w:t>
            </w:r>
            <w:r w:rsidR="005A2BDB">
              <w:rPr>
                <w:rFonts w:ascii="Times New Roman" w:hAnsi="Times New Roman"/>
                <w:color w:val="000000"/>
              </w:rPr>
              <w:t>;</w:t>
            </w:r>
          </w:p>
          <w:p w:rsidR="009D0E8B" w:rsidRPr="00FA2005" w:rsidRDefault="0011525D" w:rsidP="00756058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9D0E8B" w:rsidRPr="006C5586">
              <w:rPr>
                <w:rFonts w:ascii="Times New Roman" w:hAnsi="Times New Roman"/>
                <w:color w:val="000000"/>
              </w:rPr>
              <w:t>риоритетно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="009D0E8B" w:rsidRPr="006C5586">
              <w:rPr>
                <w:rFonts w:ascii="Times New Roman" w:hAnsi="Times New Roman"/>
                <w:color w:val="000000"/>
              </w:rPr>
              <w:t xml:space="preserve"> обесп</w:t>
            </w:r>
            <w:r w:rsidR="009D0E8B">
              <w:rPr>
                <w:rFonts w:ascii="Times New Roman" w:hAnsi="Times New Roman"/>
                <w:color w:val="000000"/>
              </w:rPr>
              <w:t>ечени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="009D0E8B">
              <w:rPr>
                <w:rFonts w:ascii="Times New Roman" w:hAnsi="Times New Roman"/>
                <w:color w:val="000000"/>
              </w:rPr>
              <w:t xml:space="preserve"> внутренних потребностей </w:t>
            </w:r>
            <w:r w:rsidR="009D0E8B" w:rsidRPr="006C5586">
              <w:rPr>
                <w:rFonts w:ascii="Times New Roman" w:hAnsi="Times New Roman"/>
                <w:color w:val="000000"/>
              </w:rPr>
              <w:t xml:space="preserve">государств-членов </w:t>
            </w:r>
            <w:r w:rsidR="009D0E8B">
              <w:rPr>
                <w:rFonts w:ascii="Times New Roman" w:hAnsi="Times New Roman"/>
                <w:color w:val="000000"/>
              </w:rPr>
              <w:t>газом</w:t>
            </w:r>
            <w:r w:rsidR="00FA2005" w:rsidRPr="00FA2005">
              <w:rPr>
                <w:rFonts w:ascii="Times New Roman" w:hAnsi="Times New Roman"/>
                <w:color w:val="000000"/>
              </w:rPr>
              <w:t>;</w:t>
            </w:r>
          </w:p>
          <w:p w:rsidR="00B96EF4" w:rsidRPr="00F50D4A" w:rsidRDefault="00FA2005" w:rsidP="00496D4B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</w:t>
            </w:r>
            <w:r w:rsidRPr="006C277F">
              <w:rPr>
                <w:rFonts w:ascii="Times New Roman" w:hAnsi="Times New Roman"/>
                <w:color w:val="000000"/>
              </w:rPr>
              <w:t>ффективное использование совокупного потенциала</w:t>
            </w:r>
            <w:r>
              <w:rPr>
                <w:rFonts w:ascii="Times New Roman" w:hAnsi="Times New Roman"/>
                <w:color w:val="000000"/>
              </w:rPr>
              <w:t xml:space="preserve"> в газовой сфере</w:t>
            </w:r>
            <w:r w:rsidRPr="006C277F">
              <w:rPr>
                <w:rFonts w:ascii="Times New Roman" w:hAnsi="Times New Roman"/>
                <w:color w:val="000000"/>
              </w:rPr>
              <w:t xml:space="preserve"> государств – членов </w:t>
            </w:r>
            <w:r>
              <w:rPr>
                <w:rFonts w:ascii="Times New Roman" w:hAnsi="Times New Roman"/>
                <w:color w:val="000000"/>
              </w:rPr>
              <w:t>Союза</w:t>
            </w:r>
            <w:r w:rsidRPr="006C277F">
              <w:rPr>
                <w:rFonts w:ascii="Times New Roman" w:hAnsi="Times New Roman"/>
                <w:color w:val="000000"/>
              </w:rPr>
              <w:t xml:space="preserve">, оптимизации межгосударственных поставок </w:t>
            </w:r>
            <w:r w:rsidR="005A2BDB">
              <w:rPr>
                <w:rFonts w:ascii="Times New Roman" w:hAnsi="Times New Roman"/>
                <w:color w:val="000000"/>
              </w:rPr>
              <w:t>газа.</w:t>
            </w:r>
          </w:p>
        </w:tc>
      </w:tr>
      <w:tr w:rsidR="0087191B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87191B" w:rsidRPr="00906603" w:rsidRDefault="0087191B" w:rsidP="007B4C8F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>Участники</w:t>
            </w:r>
            <w:r w:rsidR="001F73B3">
              <w:rPr>
                <w:rFonts w:ascii="Times New Roman" w:hAnsi="Times New Roman"/>
                <w:color w:val="000000"/>
              </w:rPr>
              <w:t xml:space="preserve"> </w:t>
            </w:r>
            <w:r w:rsidRPr="0090660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9424E3" w:rsidRPr="00CC7686" w:rsidRDefault="006A6EE0" w:rsidP="00C01615">
            <w:pPr>
              <w:rPr>
                <w:rFonts w:ascii="Times New Roman" w:hAnsi="Times New Roman"/>
                <w:color w:val="000000"/>
              </w:rPr>
            </w:pPr>
            <w:r w:rsidRPr="00CC7686">
              <w:rPr>
                <w:rFonts w:ascii="Times New Roman" w:hAnsi="Times New Roman"/>
                <w:color w:val="000000"/>
              </w:rPr>
              <w:t>К</w:t>
            </w:r>
            <w:r w:rsidR="00A000E8" w:rsidRPr="00CC7686">
              <w:rPr>
                <w:rFonts w:ascii="Times New Roman" w:hAnsi="Times New Roman"/>
                <w:color w:val="000000"/>
              </w:rPr>
              <w:t>омиссия</w:t>
            </w:r>
            <w:r w:rsidR="00F568C7" w:rsidRPr="00CC7686">
              <w:rPr>
                <w:rFonts w:ascii="Times New Roman" w:hAnsi="Times New Roman"/>
                <w:color w:val="000000"/>
              </w:rPr>
              <w:t>;</w:t>
            </w:r>
          </w:p>
          <w:p w:rsidR="00E10458" w:rsidRPr="00CC7686" w:rsidRDefault="00F568C7" w:rsidP="00C01615">
            <w:pPr>
              <w:rPr>
                <w:rFonts w:ascii="Times New Roman" w:eastAsia="Calibri" w:hAnsi="Times New Roman"/>
                <w:lang w:bidi="en-US"/>
              </w:rPr>
            </w:pPr>
            <w:r w:rsidRPr="00CC7686">
              <w:rPr>
                <w:rFonts w:ascii="Times New Roman" w:eastAsia="Calibri" w:hAnsi="Times New Roman"/>
                <w:lang w:bidi="en-US"/>
              </w:rPr>
              <w:t>органы (организации), уполномоченные государствами-член</w:t>
            </w:r>
            <w:r w:rsidR="00A81C26">
              <w:rPr>
                <w:rFonts w:ascii="Times New Roman" w:eastAsia="Calibri" w:hAnsi="Times New Roman"/>
                <w:lang w:bidi="en-US"/>
              </w:rPr>
              <w:t>ами на представление информации.</w:t>
            </w:r>
          </w:p>
          <w:p w:rsidR="00906603" w:rsidRDefault="00906603" w:rsidP="00906603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  <w:p w:rsidR="00277CE3" w:rsidRPr="00CC7686" w:rsidRDefault="00277CE3" w:rsidP="00906603">
            <w:pPr>
              <w:rPr>
                <w:rFonts w:ascii="Times New Roman" w:hAnsi="Times New Roman"/>
                <w:color w:val="000000"/>
                <w:highlight w:val="yellow"/>
              </w:rPr>
            </w:pPr>
            <w:bookmarkStart w:id="0" w:name="_GoBack"/>
            <w:bookmarkEnd w:id="0"/>
          </w:p>
        </w:tc>
      </w:tr>
      <w:tr w:rsidR="0087191B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87191B" w:rsidRPr="00906603" w:rsidRDefault="0087191B" w:rsidP="00AF090F">
            <w:pPr>
              <w:rPr>
                <w:rFonts w:ascii="Times New Roman" w:hAnsi="Times New Roman"/>
                <w:color w:val="000000"/>
              </w:rPr>
            </w:pPr>
            <w:r w:rsidRPr="00020E97">
              <w:rPr>
                <w:rFonts w:ascii="Times New Roman" w:hAnsi="Times New Roman"/>
                <w:color w:val="000000"/>
              </w:rPr>
              <w:lastRenderedPageBreak/>
              <w:t>Информационные ресурсы (используемые и/или формируемые)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1F73B3" w:rsidRPr="00CC7686" w:rsidRDefault="006A6EE0" w:rsidP="0011525D">
            <w:pPr>
              <w:rPr>
                <w:rFonts w:ascii="Times New Roman" w:hAnsi="Times New Roman"/>
                <w:color w:val="000000"/>
              </w:rPr>
            </w:pPr>
            <w:r w:rsidRPr="00CC7686">
              <w:rPr>
                <w:rFonts w:ascii="Times New Roman" w:eastAsia="Calibri" w:hAnsi="Times New Roman"/>
                <w:color w:val="000000"/>
                <w:lang w:bidi="en-US"/>
              </w:rPr>
              <w:t>В рамках общего процесса предусматривается формирование общего информационного ресурса – единого реестра</w:t>
            </w:r>
            <w:r w:rsidR="00FA2005">
              <w:rPr>
                <w:rFonts w:ascii="Times New Roman" w:eastAsia="Calibri" w:hAnsi="Times New Roman"/>
                <w:color w:val="000000"/>
                <w:lang w:bidi="en-US"/>
              </w:rPr>
              <w:t xml:space="preserve"> информации, </w:t>
            </w:r>
            <w:r w:rsidR="00FA2005" w:rsidRPr="002D3447">
              <w:rPr>
                <w:rFonts w:ascii="Times New Roman" w:hAnsi="Times New Roman"/>
                <w:color w:val="000000"/>
              </w:rPr>
              <w:t>включающе</w:t>
            </w:r>
            <w:r w:rsidR="0011525D">
              <w:rPr>
                <w:rFonts w:ascii="Times New Roman" w:hAnsi="Times New Roman"/>
                <w:color w:val="000000"/>
              </w:rPr>
              <w:t>го</w:t>
            </w:r>
            <w:r w:rsidR="00FA2005" w:rsidRPr="002D3447">
              <w:rPr>
                <w:rFonts w:ascii="Times New Roman" w:hAnsi="Times New Roman"/>
                <w:color w:val="000000"/>
              </w:rPr>
              <w:t xml:space="preserve"> в себя показатели, используемые в рамках </w:t>
            </w:r>
            <w:r w:rsidR="00FA2005">
              <w:rPr>
                <w:rFonts w:ascii="Times New Roman" w:hAnsi="Times New Roman"/>
                <w:color w:val="000000"/>
              </w:rPr>
              <w:t>Союза</w:t>
            </w:r>
            <w:r w:rsidR="00FA2005" w:rsidRPr="002D3447">
              <w:rPr>
                <w:rFonts w:ascii="Times New Roman" w:hAnsi="Times New Roman"/>
                <w:color w:val="000000"/>
              </w:rPr>
              <w:t xml:space="preserve"> и в государствах-членах, характеризующие добычу, производство, потребление, импорт, экспорт и поставки газа, в том числе взаимные, для удовлетворения внутренних потребностей государств-членов на территориях государств-членов</w:t>
            </w:r>
            <w:r w:rsidRPr="00CC7686">
              <w:rPr>
                <w:rFonts w:ascii="Times New Roman" w:eastAsia="Calibri" w:hAnsi="Times New Roman"/>
                <w:color w:val="000000"/>
                <w:lang w:bidi="en-US"/>
              </w:rPr>
              <w:t>.</w:t>
            </w:r>
          </w:p>
        </w:tc>
      </w:tr>
      <w:tr w:rsidR="0087191B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87191B" w:rsidRPr="00906603" w:rsidRDefault="0087191B" w:rsidP="00AF090F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>Описание сведений, обмен которыми будет осуществляться в рамках общего процесса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87191B" w:rsidRPr="00CC7686" w:rsidRDefault="009424E3" w:rsidP="00F50D4A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C7686">
              <w:rPr>
                <w:rFonts w:ascii="Times New Roman" w:hAnsi="Times New Roman"/>
                <w:color w:val="000000"/>
              </w:rPr>
              <w:t>В рамках реализации общего процесса предполагается обмен</w:t>
            </w:r>
            <w:r w:rsidR="009E3952" w:rsidRPr="00CC7686">
              <w:rPr>
                <w:rFonts w:ascii="Times New Roman" w:hAnsi="Times New Roman"/>
                <w:color w:val="000000"/>
              </w:rPr>
              <w:t xml:space="preserve"> следующ</w:t>
            </w:r>
            <w:r w:rsidR="006B3ABA" w:rsidRPr="00CC7686">
              <w:rPr>
                <w:rFonts w:ascii="Times New Roman" w:hAnsi="Times New Roman"/>
                <w:color w:val="000000"/>
              </w:rPr>
              <w:t>ими</w:t>
            </w:r>
            <w:r w:rsidR="00F50D4A" w:rsidRPr="00CC7686">
              <w:rPr>
                <w:rFonts w:ascii="Times New Roman" w:hAnsi="Times New Roman"/>
                <w:color w:val="000000"/>
              </w:rPr>
              <w:t xml:space="preserve"> </w:t>
            </w:r>
            <w:r w:rsidR="006B3ABA" w:rsidRPr="00CC7686">
              <w:rPr>
                <w:rFonts w:ascii="Times New Roman" w:hAnsi="Times New Roman"/>
                <w:color w:val="000000"/>
              </w:rPr>
              <w:t>сведениями</w:t>
            </w:r>
            <w:r w:rsidR="000E1653" w:rsidRPr="00CC7686">
              <w:rPr>
                <w:rFonts w:ascii="Times New Roman" w:hAnsi="Times New Roman"/>
                <w:color w:val="000000"/>
              </w:rPr>
              <w:t>:</w:t>
            </w:r>
          </w:p>
          <w:p w:rsidR="00EA7C10" w:rsidRDefault="009E3952" w:rsidP="009768E8">
            <w:pPr>
              <w:pStyle w:val="af"/>
              <w:numPr>
                <w:ilvl w:val="0"/>
                <w:numId w:val="4"/>
              </w:numPr>
              <w:tabs>
                <w:tab w:val="left" w:pos="298"/>
              </w:tabs>
              <w:spacing w:after="12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</w:t>
            </w:r>
            <w:r w:rsidR="00FA2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добыч</w:t>
            </w:r>
            <w:r w:rsidR="005923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газа</w:t>
            </w:r>
            <w:r w:rsidR="000C3699"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24F81" w:rsidRDefault="00692665" w:rsidP="009768E8">
            <w:pPr>
              <w:pStyle w:val="af"/>
              <w:numPr>
                <w:ilvl w:val="0"/>
                <w:numId w:val="4"/>
              </w:numPr>
              <w:tabs>
                <w:tab w:val="left" w:pos="298"/>
              </w:tabs>
              <w:spacing w:after="12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F36ABE"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81C26" w:rsidRPr="00A81C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5A2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A81C26" w:rsidRPr="00A81C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импорт</w:t>
            </w:r>
            <w:r w:rsidR="00A53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A81C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A81C26" w:rsidRPr="00A81C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экспорт</w:t>
            </w:r>
            <w:r w:rsidR="00A53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A81C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между </w:t>
            </w:r>
            <w:r w:rsidR="00E67D71"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государствами-членами</w:t>
            </w:r>
            <w:r w:rsidR="005A2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</w:t>
            </w:r>
            <w:r w:rsidR="00E67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53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E67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67D71" w:rsidRPr="00E67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третьи</w:t>
            </w:r>
            <w:r w:rsidR="00A53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="00E67D71" w:rsidRPr="00E67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государства</w:t>
            </w:r>
            <w:r w:rsidR="005A2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="00924F81"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220B6" w:rsidRPr="00CC7686" w:rsidRDefault="00F36ABE" w:rsidP="009768E8">
            <w:pPr>
              <w:pStyle w:val="af"/>
              <w:numPr>
                <w:ilvl w:val="0"/>
                <w:numId w:val="4"/>
              </w:numPr>
              <w:tabs>
                <w:tab w:val="left" w:pos="298"/>
              </w:tabs>
              <w:spacing w:after="12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внутренне</w:t>
            </w:r>
            <w:r w:rsidR="00A53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потреблени</w:t>
            </w:r>
            <w:r w:rsidR="00A53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 поставок газа</w:t>
            </w:r>
            <w:r w:rsidR="005A2B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внутренний рынок</w:t>
            </w:r>
            <w:r w:rsidRPr="00CC76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93345F" w:rsidRPr="00CC7686" w:rsidRDefault="0093345F" w:rsidP="0093345F">
            <w:pPr>
              <w:pStyle w:val="af"/>
              <w:numPr>
                <w:ilvl w:val="0"/>
                <w:numId w:val="4"/>
              </w:numPr>
              <w:tabs>
                <w:tab w:val="left" w:pos="298"/>
              </w:tabs>
              <w:spacing w:after="120"/>
              <w:ind w:left="34" w:firstLine="0"/>
              <w:jc w:val="both"/>
              <w:rPr>
                <w:rFonts w:ascii="Times New Roman" w:hAnsi="Times New Roman"/>
                <w:color w:val="000000"/>
              </w:rPr>
            </w:pPr>
            <w:r w:rsidRPr="00CC7686">
              <w:rPr>
                <w:rFonts w:ascii="Times New Roman" w:hAnsi="Times New Roman" w:cs="Times New Roman"/>
              </w:rPr>
              <w:t>список уполномоченных органов и субъектов государств-членов Союза, ответственных за сбор и предоставление информации</w:t>
            </w:r>
            <w:r w:rsidR="005117C2">
              <w:rPr>
                <w:rFonts w:ascii="Times New Roman" w:hAnsi="Times New Roman" w:cs="Times New Roman"/>
              </w:rPr>
              <w:t>.</w:t>
            </w:r>
          </w:p>
          <w:p w:rsidR="0093345F" w:rsidRPr="005117C2" w:rsidRDefault="0093345F" w:rsidP="005117C2">
            <w:pPr>
              <w:tabs>
                <w:tab w:val="left" w:pos="298"/>
              </w:tabs>
              <w:spacing w:after="120"/>
              <w:ind w:left="34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191B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87191B" w:rsidRPr="00906603" w:rsidRDefault="0087191B" w:rsidP="007B4C8F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>Функциональный заказчик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87191B" w:rsidRPr="0093345F" w:rsidRDefault="00C01615" w:rsidP="00C14A04">
            <w:pPr>
              <w:rPr>
                <w:rFonts w:ascii="Times New Roman" w:hAnsi="Times New Roman"/>
                <w:color w:val="000000"/>
              </w:rPr>
            </w:pPr>
            <w:r w:rsidRPr="0093345F">
              <w:rPr>
                <w:rFonts w:ascii="Times New Roman" w:hAnsi="Times New Roman"/>
                <w:color w:val="000000"/>
              </w:rPr>
              <w:t xml:space="preserve">Департамент </w:t>
            </w:r>
            <w:r w:rsidR="00C14A04" w:rsidRPr="0093345F">
              <w:rPr>
                <w:rFonts w:ascii="Times New Roman" w:hAnsi="Times New Roman"/>
                <w:color w:val="000000"/>
              </w:rPr>
              <w:t>энергетики</w:t>
            </w:r>
          </w:p>
        </w:tc>
      </w:tr>
      <w:tr w:rsidR="0087191B" w:rsidRPr="0087191B" w:rsidTr="00DE043F">
        <w:tc>
          <w:tcPr>
            <w:tcW w:w="3085" w:type="dxa"/>
            <w:tcMar>
              <w:top w:w="113" w:type="dxa"/>
              <w:bottom w:w="113" w:type="dxa"/>
            </w:tcMar>
          </w:tcPr>
          <w:p w:rsidR="0087191B" w:rsidRPr="00906603" w:rsidRDefault="0087191B" w:rsidP="007B4C8F">
            <w:pPr>
              <w:rPr>
                <w:rFonts w:ascii="Times New Roman" w:hAnsi="Times New Roman"/>
                <w:color w:val="000000"/>
              </w:rPr>
            </w:pPr>
            <w:r w:rsidRPr="00906603">
              <w:rPr>
                <w:rFonts w:ascii="Times New Roman" w:hAnsi="Times New Roman"/>
                <w:color w:val="000000"/>
              </w:rPr>
              <w:t>Предпосылки для реализации общего процесса</w:t>
            </w:r>
          </w:p>
        </w:tc>
        <w:tc>
          <w:tcPr>
            <w:tcW w:w="6662" w:type="dxa"/>
            <w:tcMar>
              <w:top w:w="113" w:type="dxa"/>
              <w:bottom w:w="113" w:type="dxa"/>
            </w:tcMar>
          </w:tcPr>
          <w:p w:rsidR="00A81C26" w:rsidRDefault="00A81C26" w:rsidP="00C01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Договор</w:t>
            </w:r>
            <w:r w:rsidRPr="00A81C26">
              <w:rPr>
                <w:rFonts w:ascii="Times New Roman" w:hAnsi="Times New Roman"/>
                <w:color w:val="000000"/>
              </w:rPr>
              <w:t xml:space="preserve"> о Евразийском экономическом союзе от 29 мая 2014 года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C14A04" w:rsidRPr="0093345F" w:rsidRDefault="00C90DF5" w:rsidP="00C01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Программа</w:t>
            </w:r>
            <w:r w:rsidR="00C14A04" w:rsidRPr="0093345F">
              <w:rPr>
                <w:rFonts w:ascii="Times New Roman" w:hAnsi="Times New Roman"/>
                <w:color w:val="000000"/>
              </w:rPr>
              <w:t xml:space="preserve"> формирования общего рынка газа</w:t>
            </w:r>
            <w:r w:rsidR="009768E8" w:rsidRPr="0093345F">
              <w:rPr>
                <w:rFonts w:ascii="Times New Roman" w:hAnsi="Times New Roman"/>
                <w:color w:val="000000"/>
              </w:rPr>
              <w:t xml:space="preserve"> </w:t>
            </w:r>
            <w:r w:rsidR="00A53633" w:rsidRPr="005117C2">
              <w:rPr>
                <w:rFonts w:ascii="Times New Roman" w:hAnsi="Times New Roman"/>
                <w:color w:val="000000"/>
              </w:rPr>
              <w:t>Евразийского экономического союза</w:t>
            </w:r>
            <w:r w:rsidR="00C14A04" w:rsidRPr="0093345F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DE043F" w:rsidRPr="0093345F" w:rsidRDefault="00C90DF5" w:rsidP="00C0161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</w:t>
            </w:r>
            <w:r w:rsidRPr="00C90DF5">
              <w:rPr>
                <w:rFonts w:ascii="Times New Roman" w:hAnsi="Times New Roman"/>
                <w:color w:val="000000"/>
              </w:rPr>
              <w:t xml:space="preserve"> мероприятий по</w:t>
            </w:r>
            <w:r>
              <w:rPr>
                <w:rFonts w:ascii="Times New Roman" w:hAnsi="Times New Roman"/>
                <w:color w:val="000000"/>
              </w:rPr>
              <w:t xml:space="preserve"> формированию общего рынка газа </w:t>
            </w:r>
            <w:r w:rsidR="00A53633" w:rsidRPr="005117C2">
              <w:rPr>
                <w:rFonts w:ascii="Times New Roman" w:hAnsi="Times New Roman"/>
                <w:color w:val="000000"/>
              </w:rPr>
              <w:t>Евразийского экономического союза</w:t>
            </w:r>
          </w:p>
          <w:p w:rsidR="00C01615" w:rsidRPr="0093345F" w:rsidRDefault="005117C2" w:rsidP="005117C2">
            <w:pPr>
              <w:rPr>
                <w:rFonts w:ascii="Times New Roman" w:hAnsi="Times New Roman"/>
                <w:color w:val="000000"/>
              </w:rPr>
            </w:pPr>
            <w:r w:rsidRPr="005117C2">
              <w:rPr>
                <w:rFonts w:ascii="Times New Roman" w:hAnsi="Times New Roman"/>
                <w:color w:val="000000"/>
              </w:rPr>
              <w:t>Соглашени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5117C2">
              <w:rPr>
                <w:rFonts w:ascii="Times New Roman" w:hAnsi="Times New Roman"/>
                <w:color w:val="000000"/>
              </w:rPr>
              <w:t xml:space="preserve"> о Методологии формирования индикативных (прогнозных) балансов газа, нефти и нефтепродуктов в рамках Евразийского экономического союза</w:t>
            </w:r>
            <w:r w:rsidR="00A81C26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E745A2" w:rsidRPr="007B4C8F" w:rsidRDefault="00E745A2" w:rsidP="0087191B">
      <w:pPr>
        <w:jc w:val="center"/>
        <w:rPr>
          <w:rFonts w:ascii="Times New Roman" w:hAnsi="Times New Roman"/>
          <w:sz w:val="28"/>
          <w:szCs w:val="28"/>
        </w:rPr>
      </w:pPr>
    </w:p>
    <w:sectPr w:rsidR="00E745A2" w:rsidRPr="007B4C8F" w:rsidSect="003F37A9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E2" w:rsidRDefault="003C1EE2" w:rsidP="00CA2626">
      <w:pPr>
        <w:spacing w:after="0" w:line="240" w:lineRule="auto"/>
      </w:pPr>
      <w:r>
        <w:separator/>
      </w:r>
    </w:p>
  </w:endnote>
  <w:endnote w:type="continuationSeparator" w:id="0">
    <w:p w:rsidR="003C1EE2" w:rsidRDefault="003C1EE2" w:rsidP="00CA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E2" w:rsidRDefault="003C1EE2" w:rsidP="00CA2626">
      <w:pPr>
        <w:spacing w:after="0" w:line="240" w:lineRule="auto"/>
      </w:pPr>
      <w:r>
        <w:separator/>
      </w:r>
    </w:p>
  </w:footnote>
  <w:footnote w:type="continuationSeparator" w:id="0">
    <w:p w:rsidR="003C1EE2" w:rsidRDefault="003C1EE2" w:rsidP="00CA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15773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A2626" w:rsidRPr="00A31291" w:rsidRDefault="00CA2626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A31291">
          <w:rPr>
            <w:rFonts w:ascii="Times New Roman" w:hAnsi="Times New Roman"/>
            <w:sz w:val="28"/>
            <w:szCs w:val="28"/>
          </w:rPr>
          <w:fldChar w:fldCharType="begin"/>
        </w:r>
        <w:r w:rsidRPr="00A3129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31291">
          <w:rPr>
            <w:rFonts w:ascii="Times New Roman" w:hAnsi="Times New Roman"/>
            <w:sz w:val="28"/>
            <w:szCs w:val="28"/>
          </w:rPr>
          <w:fldChar w:fldCharType="separate"/>
        </w:r>
        <w:r w:rsidR="00277CE3">
          <w:rPr>
            <w:rFonts w:ascii="Times New Roman" w:hAnsi="Times New Roman"/>
            <w:noProof/>
            <w:sz w:val="28"/>
            <w:szCs w:val="28"/>
          </w:rPr>
          <w:t>2</w:t>
        </w:r>
        <w:r w:rsidRPr="00A3129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A2626" w:rsidRDefault="00CA262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5B10"/>
    <w:multiLevelType w:val="hybridMultilevel"/>
    <w:tmpl w:val="60844662"/>
    <w:lvl w:ilvl="0" w:tplc="E14CCD3E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138F3"/>
    <w:multiLevelType w:val="hybridMultilevel"/>
    <w:tmpl w:val="DD5CB248"/>
    <w:lvl w:ilvl="0" w:tplc="64A47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820011"/>
    <w:multiLevelType w:val="hybridMultilevel"/>
    <w:tmpl w:val="49A6EC02"/>
    <w:lvl w:ilvl="0" w:tplc="7500F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1E2242"/>
    <w:multiLevelType w:val="hybridMultilevel"/>
    <w:tmpl w:val="CCF2115A"/>
    <w:lvl w:ilvl="0" w:tplc="B54E2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ычёв Александр Николаевич">
    <w15:presenceInfo w15:providerId="AD" w15:userId="S-1-5-21-719550535-2704166134-196599856-4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23"/>
    <w:rsid w:val="000033A5"/>
    <w:rsid w:val="00016326"/>
    <w:rsid w:val="000203B2"/>
    <w:rsid w:val="00020E97"/>
    <w:rsid w:val="00031203"/>
    <w:rsid w:val="00035784"/>
    <w:rsid w:val="00045284"/>
    <w:rsid w:val="00045517"/>
    <w:rsid w:val="00083D5A"/>
    <w:rsid w:val="00093FFE"/>
    <w:rsid w:val="00096533"/>
    <w:rsid w:val="000A3A2E"/>
    <w:rsid w:val="000B2477"/>
    <w:rsid w:val="000B7D9F"/>
    <w:rsid w:val="000C3699"/>
    <w:rsid w:val="000D06D7"/>
    <w:rsid w:val="000D2F3D"/>
    <w:rsid w:val="000E1653"/>
    <w:rsid w:val="0010748C"/>
    <w:rsid w:val="00113F69"/>
    <w:rsid w:val="0011525D"/>
    <w:rsid w:val="001362AE"/>
    <w:rsid w:val="00144724"/>
    <w:rsid w:val="001508DE"/>
    <w:rsid w:val="00153D03"/>
    <w:rsid w:val="00162011"/>
    <w:rsid w:val="00172CB1"/>
    <w:rsid w:val="00181817"/>
    <w:rsid w:val="001820CE"/>
    <w:rsid w:val="001835D1"/>
    <w:rsid w:val="001848BC"/>
    <w:rsid w:val="001A574A"/>
    <w:rsid w:val="001A7ECB"/>
    <w:rsid w:val="001B6DC4"/>
    <w:rsid w:val="001C21E1"/>
    <w:rsid w:val="001C2540"/>
    <w:rsid w:val="001C6712"/>
    <w:rsid w:val="001C6BDE"/>
    <w:rsid w:val="001F73B3"/>
    <w:rsid w:val="002044BC"/>
    <w:rsid w:val="0021383F"/>
    <w:rsid w:val="00223C52"/>
    <w:rsid w:val="00224E89"/>
    <w:rsid w:val="0024203E"/>
    <w:rsid w:val="002476D1"/>
    <w:rsid w:val="0027170A"/>
    <w:rsid w:val="002740CC"/>
    <w:rsid w:val="00276D60"/>
    <w:rsid w:val="00277CE3"/>
    <w:rsid w:val="00280E42"/>
    <w:rsid w:val="0028283E"/>
    <w:rsid w:val="002A1B05"/>
    <w:rsid w:val="002C6FC1"/>
    <w:rsid w:val="002D3447"/>
    <w:rsid w:val="002D7C48"/>
    <w:rsid w:val="002D7F9F"/>
    <w:rsid w:val="002E0D6D"/>
    <w:rsid w:val="002F35DC"/>
    <w:rsid w:val="002F539E"/>
    <w:rsid w:val="002F688F"/>
    <w:rsid w:val="00300E3E"/>
    <w:rsid w:val="003039EA"/>
    <w:rsid w:val="0030590A"/>
    <w:rsid w:val="00307B53"/>
    <w:rsid w:val="00321B06"/>
    <w:rsid w:val="00325294"/>
    <w:rsid w:val="00326903"/>
    <w:rsid w:val="003364E5"/>
    <w:rsid w:val="00340DB4"/>
    <w:rsid w:val="00344B42"/>
    <w:rsid w:val="00345E85"/>
    <w:rsid w:val="00347D81"/>
    <w:rsid w:val="0037430D"/>
    <w:rsid w:val="00377FA9"/>
    <w:rsid w:val="00385100"/>
    <w:rsid w:val="00385808"/>
    <w:rsid w:val="00390F07"/>
    <w:rsid w:val="003912BC"/>
    <w:rsid w:val="0039174D"/>
    <w:rsid w:val="003C1EE2"/>
    <w:rsid w:val="003E1794"/>
    <w:rsid w:val="003E5B09"/>
    <w:rsid w:val="003E6502"/>
    <w:rsid w:val="003F37A9"/>
    <w:rsid w:val="00414729"/>
    <w:rsid w:val="004164A9"/>
    <w:rsid w:val="00420A5A"/>
    <w:rsid w:val="00421A8D"/>
    <w:rsid w:val="004368BA"/>
    <w:rsid w:val="00443BD3"/>
    <w:rsid w:val="004462CB"/>
    <w:rsid w:val="0045230D"/>
    <w:rsid w:val="00453EB4"/>
    <w:rsid w:val="0046648A"/>
    <w:rsid w:val="004751C3"/>
    <w:rsid w:val="004826D3"/>
    <w:rsid w:val="004866CE"/>
    <w:rsid w:val="004929A8"/>
    <w:rsid w:val="00496D4B"/>
    <w:rsid w:val="004C640B"/>
    <w:rsid w:val="004C7B32"/>
    <w:rsid w:val="004D44F4"/>
    <w:rsid w:val="004E2305"/>
    <w:rsid w:val="004E2500"/>
    <w:rsid w:val="004E2D7A"/>
    <w:rsid w:val="005006E1"/>
    <w:rsid w:val="00502905"/>
    <w:rsid w:val="005117C2"/>
    <w:rsid w:val="00533290"/>
    <w:rsid w:val="00547573"/>
    <w:rsid w:val="00550A25"/>
    <w:rsid w:val="00563D35"/>
    <w:rsid w:val="00570C56"/>
    <w:rsid w:val="00580180"/>
    <w:rsid w:val="00581ED6"/>
    <w:rsid w:val="00587A8A"/>
    <w:rsid w:val="005923D7"/>
    <w:rsid w:val="005A2BDB"/>
    <w:rsid w:val="005A4775"/>
    <w:rsid w:val="005C60E4"/>
    <w:rsid w:val="005D39D2"/>
    <w:rsid w:val="005D3B50"/>
    <w:rsid w:val="005F5256"/>
    <w:rsid w:val="005F5300"/>
    <w:rsid w:val="005F7E92"/>
    <w:rsid w:val="006311D4"/>
    <w:rsid w:val="00634716"/>
    <w:rsid w:val="00636A09"/>
    <w:rsid w:val="0065286D"/>
    <w:rsid w:val="006571BB"/>
    <w:rsid w:val="006710D8"/>
    <w:rsid w:val="006874A8"/>
    <w:rsid w:val="00692665"/>
    <w:rsid w:val="006955C1"/>
    <w:rsid w:val="006A472E"/>
    <w:rsid w:val="006A507F"/>
    <w:rsid w:val="006A6EE0"/>
    <w:rsid w:val="006B3941"/>
    <w:rsid w:val="006B3ABA"/>
    <w:rsid w:val="006C277F"/>
    <w:rsid w:val="006C2D2A"/>
    <w:rsid w:val="006C433E"/>
    <w:rsid w:val="006C5586"/>
    <w:rsid w:val="006D5CE4"/>
    <w:rsid w:val="006F00A9"/>
    <w:rsid w:val="006F5A57"/>
    <w:rsid w:val="007006F7"/>
    <w:rsid w:val="00702335"/>
    <w:rsid w:val="00703FC8"/>
    <w:rsid w:val="0072252A"/>
    <w:rsid w:val="00723897"/>
    <w:rsid w:val="007318F2"/>
    <w:rsid w:val="007324ED"/>
    <w:rsid w:val="00742BD4"/>
    <w:rsid w:val="0075452C"/>
    <w:rsid w:val="00756058"/>
    <w:rsid w:val="0075649E"/>
    <w:rsid w:val="0077453B"/>
    <w:rsid w:val="007751E3"/>
    <w:rsid w:val="007B4C2E"/>
    <w:rsid w:val="007B4C8F"/>
    <w:rsid w:val="007D2630"/>
    <w:rsid w:val="007D7964"/>
    <w:rsid w:val="007E4DC3"/>
    <w:rsid w:val="007F489D"/>
    <w:rsid w:val="008004CB"/>
    <w:rsid w:val="00811D47"/>
    <w:rsid w:val="00827891"/>
    <w:rsid w:val="00843459"/>
    <w:rsid w:val="00845641"/>
    <w:rsid w:val="008471D9"/>
    <w:rsid w:val="008477E7"/>
    <w:rsid w:val="00867382"/>
    <w:rsid w:val="0087191B"/>
    <w:rsid w:val="00890D10"/>
    <w:rsid w:val="00895BC0"/>
    <w:rsid w:val="008B0FB3"/>
    <w:rsid w:val="008F2B99"/>
    <w:rsid w:val="008F3D94"/>
    <w:rsid w:val="0090011E"/>
    <w:rsid w:val="00901372"/>
    <w:rsid w:val="00903F8E"/>
    <w:rsid w:val="00906603"/>
    <w:rsid w:val="00924F81"/>
    <w:rsid w:val="0093345F"/>
    <w:rsid w:val="00935BD4"/>
    <w:rsid w:val="00935FA3"/>
    <w:rsid w:val="009424E3"/>
    <w:rsid w:val="0094559D"/>
    <w:rsid w:val="00952FBD"/>
    <w:rsid w:val="00956407"/>
    <w:rsid w:val="00957BC0"/>
    <w:rsid w:val="00971AF6"/>
    <w:rsid w:val="00973ACB"/>
    <w:rsid w:val="00974E52"/>
    <w:rsid w:val="009768E8"/>
    <w:rsid w:val="00985BD2"/>
    <w:rsid w:val="00986003"/>
    <w:rsid w:val="00994053"/>
    <w:rsid w:val="009949CE"/>
    <w:rsid w:val="00997B3D"/>
    <w:rsid w:val="009A433C"/>
    <w:rsid w:val="009C6496"/>
    <w:rsid w:val="009D0E8B"/>
    <w:rsid w:val="009D5F01"/>
    <w:rsid w:val="009E3952"/>
    <w:rsid w:val="009E75B4"/>
    <w:rsid w:val="009F46C7"/>
    <w:rsid w:val="00A000E8"/>
    <w:rsid w:val="00A00E6C"/>
    <w:rsid w:val="00A03A49"/>
    <w:rsid w:val="00A06C11"/>
    <w:rsid w:val="00A151A1"/>
    <w:rsid w:val="00A20A71"/>
    <w:rsid w:val="00A220B6"/>
    <w:rsid w:val="00A31291"/>
    <w:rsid w:val="00A53633"/>
    <w:rsid w:val="00A73617"/>
    <w:rsid w:val="00A77310"/>
    <w:rsid w:val="00A77AFF"/>
    <w:rsid w:val="00A81C26"/>
    <w:rsid w:val="00A84E67"/>
    <w:rsid w:val="00A90F7A"/>
    <w:rsid w:val="00AA0A1D"/>
    <w:rsid w:val="00AC6236"/>
    <w:rsid w:val="00AE1378"/>
    <w:rsid w:val="00AF090F"/>
    <w:rsid w:val="00B00D48"/>
    <w:rsid w:val="00B07D78"/>
    <w:rsid w:val="00B113FE"/>
    <w:rsid w:val="00B11595"/>
    <w:rsid w:val="00B12777"/>
    <w:rsid w:val="00B147EE"/>
    <w:rsid w:val="00B20301"/>
    <w:rsid w:val="00B21E85"/>
    <w:rsid w:val="00B3358D"/>
    <w:rsid w:val="00B96E62"/>
    <w:rsid w:val="00B96EF4"/>
    <w:rsid w:val="00BA515B"/>
    <w:rsid w:val="00BA77E6"/>
    <w:rsid w:val="00BB0DCE"/>
    <w:rsid w:val="00BB3D23"/>
    <w:rsid w:val="00BB42A8"/>
    <w:rsid w:val="00BD7CCD"/>
    <w:rsid w:val="00C01615"/>
    <w:rsid w:val="00C14A04"/>
    <w:rsid w:val="00C3238A"/>
    <w:rsid w:val="00C36347"/>
    <w:rsid w:val="00C4405C"/>
    <w:rsid w:val="00C60A82"/>
    <w:rsid w:val="00C71550"/>
    <w:rsid w:val="00C723E7"/>
    <w:rsid w:val="00C826CD"/>
    <w:rsid w:val="00C90DF5"/>
    <w:rsid w:val="00CA2626"/>
    <w:rsid w:val="00CA30F4"/>
    <w:rsid w:val="00CB0FEF"/>
    <w:rsid w:val="00CC7686"/>
    <w:rsid w:val="00CD46C0"/>
    <w:rsid w:val="00CE7200"/>
    <w:rsid w:val="00CF0FCA"/>
    <w:rsid w:val="00CF1F8E"/>
    <w:rsid w:val="00CF73E7"/>
    <w:rsid w:val="00D0005D"/>
    <w:rsid w:val="00D209EA"/>
    <w:rsid w:val="00D22B25"/>
    <w:rsid w:val="00D30854"/>
    <w:rsid w:val="00D36FBF"/>
    <w:rsid w:val="00D45E9E"/>
    <w:rsid w:val="00D46B0B"/>
    <w:rsid w:val="00D52887"/>
    <w:rsid w:val="00D571AD"/>
    <w:rsid w:val="00D6294E"/>
    <w:rsid w:val="00D709BD"/>
    <w:rsid w:val="00D80E1C"/>
    <w:rsid w:val="00D82A7F"/>
    <w:rsid w:val="00D8538C"/>
    <w:rsid w:val="00DC2732"/>
    <w:rsid w:val="00DC7DFD"/>
    <w:rsid w:val="00DD1243"/>
    <w:rsid w:val="00DE043F"/>
    <w:rsid w:val="00DF6C0C"/>
    <w:rsid w:val="00E034FA"/>
    <w:rsid w:val="00E10458"/>
    <w:rsid w:val="00E14DC9"/>
    <w:rsid w:val="00E1503D"/>
    <w:rsid w:val="00E352E8"/>
    <w:rsid w:val="00E4431B"/>
    <w:rsid w:val="00E67AFA"/>
    <w:rsid w:val="00E67D71"/>
    <w:rsid w:val="00E72F6D"/>
    <w:rsid w:val="00E73E76"/>
    <w:rsid w:val="00E745A2"/>
    <w:rsid w:val="00E879C2"/>
    <w:rsid w:val="00EA502E"/>
    <w:rsid w:val="00EA7828"/>
    <w:rsid w:val="00EA7C10"/>
    <w:rsid w:val="00F109DC"/>
    <w:rsid w:val="00F11E34"/>
    <w:rsid w:val="00F208C7"/>
    <w:rsid w:val="00F24DBD"/>
    <w:rsid w:val="00F327AC"/>
    <w:rsid w:val="00F36ABE"/>
    <w:rsid w:val="00F37A92"/>
    <w:rsid w:val="00F37F3B"/>
    <w:rsid w:val="00F453A3"/>
    <w:rsid w:val="00F50D4A"/>
    <w:rsid w:val="00F522CE"/>
    <w:rsid w:val="00F531E9"/>
    <w:rsid w:val="00F568C7"/>
    <w:rsid w:val="00F6132A"/>
    <w:rsid w:val="00F66F6F"/>
    <w:rsid w:val="00F73CF1"/>
    <w:rsid w:val="00F77978"/>
    <w:rsid w:val="00F80D87"/>
    <w:rsid w:val="00F84F29"/>
    <w:rsid w:val="00FA2005"/>
    <w:rsid w:val="00FA243B"/>
    <w:rsid w:val="00FA6CFA"/>
    <w:rsid w:val="00FD28EC"/>
    <w:rsid w:val="00FD323B"/>
    <w:rsid w:val="00FE667D"/>
    <w:rsid w:val="00FF15E0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6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A50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50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507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50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507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A2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262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A2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2626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D82A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0">
    <w:name w:val="Revision"/>
    <w:hidden/>
    <w:uiPriority w:val="99"/>
    <w:semiHidden/>
    <w:rsid w:val="00F77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Знак"/>
    <w:basedOn w:val="a0"/>
    <w:link w:val="af2"/>
    <w:rsid w:val="00A151A1"/>
    <w:rPr>
      <w:shd w:val="clear" w:color="auto" w:fill="FFFFFF"/>
    </w:rPr>
  </w:style>
  <w:style w:type="paragraph" w:styleId="af2">
    <w:name w:val="Body Text"/>
    <w:basedOn w:val="a"/>
    <w:link w:val="af1"/>
    <w:rsid w:val="00A151A1"/>
    <w:pPr>
      <w:widowControl w:val="0"/>
      <w:shd w:val="clear" w:color="auto" w:fill="FFFFFF"/>
      <w:spacing w:after="0" w:line="274" w:lineRule="exact"/>
      <w:ind w:hanging="360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151A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15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f3">
    <w:name w:val="Заголовок документа"/>
    <w:link w:val="af4"/>
    <w:qFormat/>
    <w:rsid w:val="0027170A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4">
    <w:name w:val="Заголовок документа Знак"/>
    <w:basedOn w:val="a0"/>
    <w:link w:val="af3"/>
    <w:rsid w:val="0027170A"/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F50D4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50D4A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F50D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6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A50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A50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A507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A50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A507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A2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262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A2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2626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D82A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0">
    <w:name w:val="Revision"/>
    <w:hidden/>
    <w:uiPriority w:val="99"/>
    <w:semiHidden/>
    <w:rsid w:val="00F779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Знак"/>
    <w:basedOn w:val="a0"/>
    <w:link w:val="af2"/>
    <w:rsid w:val="00A151A1"/>
    <w:rPr>
      <w:shd w:val="clear" w:color="auto" w:fill="FFFFFF"/>
    </w:rPr>
  </w:style>
  <w:style w:type="paragraph" w:styleId="af2">
    <w:name w:val="Body Text"/>
    <w:basedOn w:val="a"/>
    <w:link w:val="af1"/>
    <w:rsid w:val="00A151A1"/>
    <w:pPr>
      <w:widowControl w:val="0"/>
      <w:shd w:val="clear" w:color="auto" w:fill="FFFFFF"/>
      <w:spacing w:after="0" w:line="274" w:lineRule="exact"/>
      <w:ind w:hanging="360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151A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15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f3">
    <w:name w:val="Заголовок документа"/>
    <w:link w:val="af4"/>
    <w:qFormat/>
    <w:rsid w:val="0027170A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4">
    <w:name w:val="Заголовок документа Знак"/>
    <w:basedOn w:val="a0"/>
    <w:link w:val="af3"/>
    <w:rsid w:val="0027170A"/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F50D4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50D4A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F5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D84C-CC8B-422B-8DB8-693B2CFB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Мартинес Рафаэль Рафаэльевич</dc:creator>
  <cp:lastModifiedBy>Вербняк Артём Александрович</cp:lastModifiedBy>
  <cp:revision>7</cp:revision>
  <cp:lastPrinted>2019-08-02T12:58:00Z</cp:lastPrinted>
  <dcterms:created xsi:type="dcterms:W3CDTF">2019-08-06T09:01:00Z</dcterms:created>
  <dcterms:modified xsi:type="dcterms:W3CDTF">2019-10-15T13:27:00Z</dcterms:modified>
</cp:coreProperties>
</file>