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D6" w:rsidRPr="0066065A" w:rsidRDefault="00BC67D6" w:rsidP="0019554D">
      <w:pPr>
        <w:keepNext/>
        <w:keepLines/>
        <w:widowControl w:val="0"/>
        <w:spacing w:after="0" w:line="240" w:lineRule="auto"/>
        <w:ind w:firstLine="6095"/>
        <w:jc w:val="center"/>
        <w:outlineLvl w:val="1"/>
        <w:rPr>
          <w:rFonts w:cstheme="minorBidi"/>
          <w:b/>
          <w:i/>
          <w:sz w:val="26"/>
          <w:szCs w:val="26"/>
        </w:rPr>
      </w:pPr>
      <w:bookmarkStart w:id="0" w:name="bookmark0"/>
      <w:r w:rsidRPr="0066065A">
        <w:rPr>
          <w:rFonts w:cstheme="minorBidi"/>
          <w:b/>
          <w:i/>
          <w:sz w:val="26"/>
          <w:szCs w:val="26"/>
        </w:rPr>
        <w:t xml:space="preserve">К пункту </w:t>
      </w:r>
      <w:r>
        <w:rPr>
          <w:rFonts w:cstheme="minorBidi"/>
          <w:b/>
          <w:i/>
          <w:sz w:val="26"/>
          <w:szCs w:val="26"/>
        </w:rPr>
        <w:t>___</w:t>
      </w:r>
      <w:r w:rsidRPr="0066065A">
        <w:rPr>
          <w:rFonts w:cstheme="minorBidi"/>
          <w:b/>
          <w:i/>
          <w:sz w:val="26"/>
          <w:szCs w:val="26"/>
        </w:rPr>
        <w:t xml:space="preserve"> повестки дня</w:t>
      </w:r>
    </w:p>
    <w:p w:rsidR="00BC67D6" w:rsidRPr="001A7E99" w:rsidRDefault="00BC67D6" w:rsidP="0019554D">
      <w:pPr>
        <w:keepNext/>
        <w:keepLines/>
        <w:widowControl w:val="0"/>
        <w:spacing w:after="0" w:line="240" w:lineRule="auto"/>
        <w:ind w:firstLine="6095"/>
        <w:jc w:val="center"/>
        <w:outlineLvl w:val="1"/>
        <w:rPr>
          <w:rFonts w:cstheme="minorBidi"/>
          <w:i/>
          <w:sz w:val="26"/>
          <w:szCs w:val="26"/>
        </w:rPr>
      </w:pPr>
      <w:r w:rsidRPr="001A7E99">
        <w:rPr>
          <w:rFonts w:cstheme="minorBidi"/>
          <w:i/>
          <w:sz w:val="26"/>
          <w:szCs w:val="26"/>
        </w:rPr>
        <w:t>___-</w:t>
      </w:r>
      <w:proofErr w:type="spellStart"/>
      <w:r w:rsidRPr="001A7E99">
        <w:rPr>
          <w:rFonts w:cstheme="minorBidi"/>
          <w:i/>
          <w:sz w:val="26"/>
          <w:szCs w:val="26"/>
        </w:rPr>
        <w:t>го</w:t>
      </w:r>
      <w:proofErr w:type="spellEnd"/>
      <w:r w:rsidRPr="001A7E99">
        <w:rPr>
          <w:rFonts w:cstheme="minorBidi"/>
          <w:i/>
          <w:sz w:val="26"/>
          <w:szCs w:val="26"/>
        </w:rPr>
        <w:t xml:space="preserve"> заседания Коллегии</w:t>
      </w:r>
    </w:p>
    <w:p w:rsidR="00BC67D6" w:rsidRDefault="00BC67D6" w:rsidP="0019554D">
      <w:pPr>
        <w:keepNext/>
        <w:keepLines/>
        <w:widowControl w:val="0"/>
        <w:spacing w:after="0" w:line="240" w:lineRule="auto"/>
        <w:ind w:firstLine="6095"/>
        <w:jc w:val="center"/>
        <w:outlineLvl w:val="1"/>
        <w:rPr>
          <w:rFonts w:cstheme="minorBidi"/>
          <w:i/>
          <w:sz w:val="26"/>
          <w:szCs w:val="26"/>
        </w:rPr>
      </w:pPr>
      <w:r w:rsidRPr="001A7E99">
        <w:rPr>
          <w:rFonts w:cstheme="minorBidi"/>
          <w:i/>
          <w:sz w:val="26"/>
          <w:szCs w:val="26"/>
        </w:rPr>
        <w:t>Евразийской экономической</w:t>
      </w:r>
      <w:r>
        <w:rPr>
          <w:rFonts w:cstheme="minorBidi"/>
          <w:i/>
          <w:sz w:val="26"/>
          <w:szCs w:val="26"/>
        </w:rPr>
        <w:t xml:space="preserve"> </w:t>
      </w:r>
    </w:p>
    <w:p w:rsidR="00BC67D6" w:rsidRPr="001A7E99" w:rsidRDefault="00BC67D6" w:rsidP="0019554D">
      <w:pPr>
        <w:keepNext/>
        <w:keepLines/>
        <w:widowControl w:val="0"/>
        <w:spacing w:after="0" w:line="240" w:lineRule="auto"/>
        <w:ind w:firstLine="6095"/>
        <w:jc w:val="center"/>
        <w:outlineLvl w:val="1"/>
        <w:rPr>
          <w:rFonts w:cstheme="minorBidi"/>
          <w:i/>
          <w:sz w:val="26"/>
          <w:szCs w:val="26"/>
        </w:rPr>
      </w:pPr>
      <w:proofErr w:type="gramStart"/>
      <w:r w:rsidRPr="001A7E99">
        <w:rPr>
          <w:rFonts w:cstheme="minorBidi"/>
          <w:i/>
          <w:sz w:val="26"/>
          <w:szCs w:val="26"/>
        </w:rPr>
        <w:t>комиссии</w:t>
      </w:r>
      <w:proofErr w:type="gramEnd"/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pacing w:val="70"/>
          <w:sz w:val="30"/>
          <w:szCs w:val="30"/>
          <w:lang w:eastAsia="ru-RU"/>
        </w:rPr>
      </w:pPr>
    </w:p>
    <w:p w:rsidR="00BC6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pacing w:val="70"/>
          <w:sz w:val="30"/>
          <w:szCs w:val="30"/>
          <w:lang w:eastAsia="ru-RU"/>
        </w:rPr>
      </w:pPr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 Полужирный" w:eastAsia="Times New Roman" w:hAnsi="Times New Roman Полужирный"/>
          <w:b/>
          <w:bCs/>
          <w:color w:val="000000"/>
          <w:spacing w:val="80"/>
          <w:sz w:val="30"/>
          <w:szCs w:val="30"/>
          <w:lang w:val="ru" w:eastAsia="ru-RU"/>
        </w:rPr>
      </w:pPr>
      <w:r w:rsidRPr="00F547D6">
        <w:rPr>
          <w:rFonts w:ascii="Times New Roman Полужирный" w:eastAsia="Times New Roman" w:hAnsi="Times New Roman Полужирный"/>
          <w:b/>
          <w:bCs/>
          <w:color w:val="000000"/>
          <w:spacing w:val="80"/>
          <w:sz w:val="30"/>
          <w:szCs w:val="30"/>
          <w:lang w:val="ru" w:eastAsia="ru-RU"/>
        </w:rPr>
        <w:t>СПРАВКА</w:t>
      </w:r>
      <w:bookmarkEnd w:id="0"/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0"/>
          <w:szCs w:val="30"/>
          <w:lang w:val="ru" w:eastAsia="ru-RU"/>
        </w:rPr>
      </w:pPr>
      <w:bookmarkStart w:id="1" w:name="bookmark1"/>
      <w:proofErr w:type="gramStart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>о</w:t>
      </w:r>
      <w:proofErr w:type="gramEnd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 xml:space="preserve"> проекте рекомендации Коллегии Евразийской экономической</w:t>
      </w:r>
      <w:bookmarkEnd w:id="1"/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0"/>
          <w:szCs w:val="30"/>
          <w:lang w:val="ru" w:eastAsia="ru-RU"/>
        </w:rPr>
      </w:pPr>
      <w:bookmarkStart w:id="2" w:name="bookmark2"/>
      <w:proofErr w:type="gramStart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>комиссии</w:t>
      </w:r>
      <w:proofErr w:type="gramEnd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 xml:space="preserve"> «О прогнозах развития агропромышленных комплексов государств – членов Евразийского экономического союза</w:t>
      </w:r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proofErr w:type="gramStart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>на</w:t>
      </w:r>
      <w:proofErr w:type="gramEnd"/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t xml:space="preserve"> среднесрочный период 2021– 2025 годов </w:t>
      </w:r>
      <w:r w:rsidRPr="00F547D6">
        <w:rPr>
          <w:rFonts w:eastAsia="Times New Roman"/>
          <w:b/>
          <w:bCs/>
          <w:color w:val="000000"/>
          <w:sz w:val="30"/>
          <w:szCs w:val="30"/>
          <w:lang w:val="ru" w:eastAsia="ru-RU"/>
        </w:rPr>
        <w:br/>
        <w:t>и на долгосрочный период 2021 – 2030 годов»</w:t>
      </w:r>
      <w:bookmarkEnd w:id="2"/>
    </w:p>
    <w:p w:rsidR="00BC67D6" w:rsidRPr="00F547D6" w:rsidRDefault="00BC67D6" w:rsidP="00BC67D6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026677" w:rsidRPr="00F547D6" w:rsidRDefault="00026677" w:rsidP="00EF0D3F">
      <w:pPr>
        <w:widowControl w:val="0"/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F547D6">
        <w:rPr>
          <w:rFonts w:eastAsia="Times New Roman"/>
          <w:sz w:val="30"/>
          <w:szCs w:val="30"/>
          <w:lang w:val="ru" w:eastAsia="ru-RU"/>
        </w:rPr>
        <w:t>Проект рекомендации Коллегии Евразийской экономической комиссии «</w:t>
      </w:r>
      <w:r w:rsidR="00C347B0" w:rsidRPr="00F547D6">
        <w:rPr>
          <w:rFonts w:eastAsia="Times New Roman"/>
          <w:sz w:val="30"/>
          <w:szCs w:val="30"/>
          <w:lang w:val="ru" w:eastAsia="ru-RU"/>
        </w:rPr>
        <w:t>О прогнозах развития агропромышленных комплексов государств – членов Евразийского экономического союза на среднесрочный период 2021</w:t>
      </w:r>
      <w:r w:rsidR="008A50AF"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="00C347B0" w:rsidRPr="00F547D6">
        <w:rPr>
          <w:rFonts w:eastAsia="Times New Roman"/>
          <w:sz w:val="30"/>
          <w:szCs w:val="30"/>
          <w:lang w:val="ru" w:eastAsia="ru-RU"/>
        </w:rPr>
        <w:t>– 2025 годов и на долгосрочный период 2021 – 2030 годов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» (далее – </w:t>
      </w:r>
      <w:r w:rsidR="003741FF" w:rsidRPr="00F547D6">
        <w:rPr>
          <w:rFonts w:eastAsia="Times New Roman"/>
          <w:sz w:val="30"/>
          <w:szCs w:val="30"/>
          <w:lang w:val="ru" w:eastAsia="ru-RU"/>
        </w:rPr>
        <w:t>Комиссия, проект Рекомендации</w:t>
      </w:r>
      <w:r w:rsidRPr="00F547D6">
        <w:rPr>
          <w:rFonts w:eastAsia="Times New Roman"/>
          <w:sz w:val="30"/>
          <w:szCs w:val="30"/>
          <w:lang w:eastAsia="ru-RU"/>
        </w:rPr>
        <w:t>)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 подготовлен Департаментом агропромышленной политики</w:t>
      </w:r>
      <w:r w:rsidR="00575FA4" w:rsidRPr="00F547D6">
        <w:rPr>
          <w:rFonts w:eastAsia="Times New Roman"/>
          <w:sz w:val="30"/>
          <w:szCs w:val="30"/>
          <w:lang w:val="ru" w:eastAsia="ru-RU"/>
        </w:rPr>
        <w:t xml:space="preserve"> (далее – Департамент)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="005B2A86" w:rsidRPr="00F547D6">
        <w:rPr>
          <w:rFonts w:eastAsia="Times New Roman"/>
          <w:sz w:val="30"/>
          <w:szCs w:val="30"/>
          <w:lang w:val="ru" w:eastAsia="ru-RU"/>
        </w:rPr>
        <w:t xml:space="preserve">в соответствии с </w:t>
      </w:r>
      <w:r w:rsidR="0010224C" w:rsidRPr="00F547D6">
        <w:rPr>
          <w:rFonts w:eastAsia="Times New Roman"/>
          <w:sz w:val="30"/>
          <w:szCs w:val="30"/>
          <w:lang w:val="ru" w:eastAsia="ru-RU"/>
        </w:rPr>
        <w:t>подпункт</w:t>
      </w:r>
      <w:r w:rsidR="005B2A86" w:rsidRPr="00F547D6">
        <w:rPr>
          <w:rFonts w:eastAsia="Times New Roman"/>
          <w:sz w:val="30"/>
          <w:szCs w:val="30"/>
          <w:lang w:val="ru" w:eastAsia="ru-RU"/>
        </w:rPr>
        <w:t>ом</w:t>
      </w:r>
      <w:r w:rsidR="0010224C" w:rsidRPr="00F547D6">
        <w:rPr>
          <w:rFonts w:eastAsia="Times New Roman"/>
          <w:sz w:val="30"/>
          <w:szCs w:val="30"/>
          <w:lang w:val="ru" w:eastAsia="ru-RU"/>
        </w:rPr>
        <w:t xml:space="preserve"> 1 пункта 1 статьи 95 </w:t>
      </w:r>
      <w:r w:rsidRPr="00F547D6">
        <w:rPr>
          <w:rFonts w:eastAsia="Times New Roman"/>
          <w:sz w:val="30"/>
          <w:szCs w:val="30"/>
          <w:lang w:val="ru" w:eastAsia="ru-RU"/>
        </w:rPr>
        <w:t>Договора о Евразийском экономическом союзе</w:t>
      </w:r>
      <w:r w:rsidR="003741FF" w:rsidRPr="00F547D6">
        <w:rPr>
          <w:rFonts w:eastAsia="Times New Roman"/>
          <w:sz w:val="30"/>
          <w:szCs w:val="30"/>
          <w:lang w:val="ru" w:eastAsia="ru-RU"/>
        </w:rPr>
        <w:t xml:space="preserve"> (далее – </w:t>
      </w:r>
      <w:r w:rsidR="00E84C3C" w:rsidRPr="00F547D6">
        <w:rPr>
          <w:rFonts w:eastAsia="Times New Roman"/>
          <w:sz w:val="30"/>
          <w:szCs w:val="30"/>
          <w:lang w:val="ru" w:eastAsia="ru-RU"/>
        </w:rPr>
        <w:t>Союз</w:t>
      </w:r>
      <w:r w:rsidR="003741FF" w:rsidRPr="00F547D6">
        <w:rPr>
          <w:rFonts w:eastAsia="Times New Roman"/>
          <w:sz w:val="30"/>
          <w:szCs w:val="30"/>
          <w:lang w:val="ru" w:eastAsia="ru-RU"/>
        </w:rPr>
        <w:t>)</w:t>
      </w:r>
      <w:r w:rsidR="002A122D"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="00F547D6">
        <w:rPr>
          <w:rFonts w:eastAsia="Times New Roman"/>
          <w:sz w:val="30"/>
          <w:szCs w:val="30"/>
          <w:lang w:val="ru" w:eastAsia="ru-RU"/>
        </w:rPr>
        <w:br/>
      </w:r>
      <w:r w:rsidRPr="00F547D6">
        <w:rPr>
          <w:rFonts w:eastAsia="Times New Roman"/>
          <w:sz w:val="30"/>
          <w:szCs w:val="30"/>
          <w:lang w:val="ru" w:eastAsia="ru-RU"/>
        </w:rPr>
        <w:t>от 29 мая 2014</w:t>
      </w:r>
      <w:r w:rsidR="0010224C" w:rsidRPr="00F547D6">
        <w:rPr>
          <w:rFonts w:eastAsia="Times New Roman"/>
          <w:sz w:val="30"/>
          <w:szCs w:val="30"/>
          <w:lang w:eastAsia="ru-RU"/>
        </w:rPr>
        <w:t xml:space="preserve"> </w:t>
      </w:r>
      <w:r w:rsidR="0010224C" w:rsidRPr="00F547D6">
        <w:rPr>
          <w:rFonts w:eastAsia="Times New Roman"/>
          <w:sz w:val="30"/>
          <w:szCs w:val="30"/>
          <w:lang w:val="ru" w:eastAsia="ru-RU"/>
        </w:rPr>
        <w:t>года</w:t>
      </w:r>
      <w:r w:rsidR="005B2A86" w:rsidRPr="00F547D6">
        <w:rPr>
          <w:rFonts w:eastAsia="Times New Roman"/>
          <w:sz w:val="30"/>
          <w:szCs w:val="30"/>
          <w:lang w:val="ru" w:eastAsia="ru-RU"/>
        </w:rPr>
        <w:t>.</w:t>
      </w:r>
    </w:p>
    <w:p w:rsidR="008A50AF" w:rsidRPr="00F547D6" w:rsidRDefault="008A50AF" w:rsidP="00EF0D3F">
      <w:pPr>
        <w:widowControl w:val="0"/>
        <w:spacing w:after="0" w:line="360" w:lineRule="auto"/>
        <w:ind w:firstLine="709"/>
        <w:jc w:val="both"/>
        <w:rPr>
          <w:rFonts w:eastAsia="Times New Roman"/>
          <w:sz w:val="30"/>
          <w:szCs w:val="30"/>
          <w:lang w:val="ru" w:eastAsia="ru-RU"/>
        </w:rPr>
      </w:pPr>
      <w:r w:rsidRPr="00F547D6">
        <w:rPr>
          <w:rFonts w:eastAsia="Times New Roman"/>
          <w:spacing w:val="-2"/>
          <w:sz w:val="30"/>
          <w:szCs w:val="30"/>
          <w:lang w:val="ru" w:eastAsia="ru-RU"/>
        </w:rPr>
        <w:t>Прогнозы развития агропромышленных комплексов государств – членов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="00E84C3C" w:rsidRPr="00F547D6">
        <w:rPr>
          <w:rFonts w:eastAsia="Times New Roman"/>
          <w:sz w:val="30"/>
          <w:szCs w:val="30"/>
          <w:lang w:val="ru" w:eastAsia="ru-RU"/>
        </w:rPr>
        <w:t>Союза</w:t>
      </w:r>
      <w:r w:rsidR="003741FF"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на среднесрочный период 2021 – 2025 годов и на долгосрочный период 2021 – 2030 годов </w:t>
      </w:r>
      <w:r w:rsidR="008724F9" w:rsidRPr="00F547D6">
        <w:rPr>
          <w:rFonts w:eastAsia="Times New Roman"/>
          <w:sz w:val="30"/>
          <w:szCs w:val="30"/>
          <w:lang w:val="ru" w:eastAsia="ru-RU"/>
        </w:rPr>
        <w:t xml:space="preserve">(далее – Прогнозы) 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сформированы в соответствии с Методологией прогнозирования развития агропромышленных комплексов государств – членов </w:t>
      </w:r>
      <w:r w:rsidR="00E84C3C" w:rsidRPr="00F547D6">
        <w:rPr>
          <w:rFonts w:eastAsia="Times New Roman"/>
          <w:sz w:val="30"/>
          <w:szCs w:val="30"/>
          <w:lang w:val="ru" w:eastAsia="ru-RU"/>
        </w:rPr>
        <w:t>Союза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 (далее – Методология), утвержденной </w:t>
      </w:r>
      <w:r w:rsidR="00FC2F43" w:rsidRPr="00F547D6">
        <w:rPr>
          <w:rFonts w:eastAsia="Times New Roman"/>
          <w:sz w:val="30"/>
          <w:szCs w:val="30"/>
          <w:lang w:val="ru" w:eastAsia="ru-RU"/>
        </w:rPr>
        <w:t xml:space="preserve">Распоряжением Коллегии </w:t>
      </w:r>
      <w:r w:rsidRPr="00F547D6">
        <w:rPr>
          <w:rFonts w:eastAsia="Times New Roman"/>
          <w:sz w:val="30"/>
          <w:szCs w:val="30"/>
          <w:lang w:val="ru" w:eastAsia="ru-RU"/>
        </w:rPr>
        <w:t>Комиссии</w:t>
      </w:r>
      <w:r w:rsidR="00FC2F43" w:rsidRPr="00F547D6">
        <w:rPr>
          <w:rFonts w:eastAsia="Times New Roman"/>
          <w:sz w:val="30"/>
          <w:szCs w:val="30"/>
          <w:lang w:val="ru" w:eastAsia="ru-RU"/>
        </w:rPr>
        <w:t xml:space="preserve"> от 9 июня 2020 года № 70</w:t>
      </w:r>
      <w:r w:rsidR="001B528D" w:rsidRPr="00F547D6">
        <w:rPr>
          <w:rFonts w:eastAsia="Times New Roman"/>
          <w:sz w:val="30"/>
          <w:szCs w:val="30"/>
          <w:lang w:val="ru" w:eastAsia="ru-RU"/>
        </w:rPr>
        <w:t>.</w:t>
      </w:r>
    </w:p>
    <w:p w:rsidR="004463B5" w:rsidRPr="00AC793D" w:rsidRDefault="004463B5" w:rsidP="00EF0D3F">
      <w:pPr>
        <w:widowControl w:val="0"/>
        <w:spacing w:after="0" w:line="312" w:lineRule="auto"/>
        <w:ind w:firstLine="709"/>
        <w:jc w:val="both"/>
        <w:rPr>
          <w:i/>
          <w:sz w:val="26"/>
          <w:szCs w:val="26"/>
        </w:rPr>
      </w:pPr>
      <w:r w:rsidRPr="00AC793D">
        <w:rPr>
          <w:b/>
          <w:i/>
          <w:sz w:val="26"/>
          <w:szCs w:val="26"/>
          <w:u w:val="single"/>
        </w:rPr>
        <w:t>Справочно:</w:t>
      </w:r>
      <w:r w:rsidRPr="00AC793D">
        <w:rPr>
          <w:sz w:val="26"/>
          <w:szCs w:val="26"/>
        </w:rPr>
        <w:t xml:space="preserve"> </w:t>
      </w:r>
      <w:r w:rsidR="00591768" w:rsidRPr="00AC793D">
        <w:rPr>
          <w:i/>
          <w:sz w:val="26"/>
          <w:szCs w:val="26"/>
        </w:rPr>
        <w:t xml:space="preserve">Методология базируется на применении системы инструментов прогнозирования, позволяющих произвести оценку и экстраполяцию тенденций развития индикативных показателей в каждой стране Союза </w:t>
      </w:r>
      <w:r w:rsidR="00AC793D">
        <w:rPr>
          <w:i/>
          <w:sz w:val="26"/>
          <w:szCs w:val="26"/>
        </w:rPr>
        <w:br/>
      </w:r>
      <w:r w:rsidR="00591768" w:rsidRPr="00AC793D">
        <w:rPr>
          <w:i/>
          <w:sz w:val="26"/>
          <w:szCs w:val="26"/>
        </w:rPr>
        <w:t>на среднесрочный (5 лет) и долгосрочный (10 лет) период с корректировкой показателей</w:t>
      </w:r>
      <w:r w:rsidRPr="00AC793D">
        <w:rPr>
          <w:i/>
          <w:sz w:val="26"/>
          <w:szCs w:val="26"/>
        </w:rPr>
        <w:t xml:space="preserve"> раз в 2 года.</w:t>
      </w:r>
    </w:p>
    <w:p w:rsidR="00206A70" w:rsidRPr="00F547D6" w:rsidRDefault="00206A70" w:rsidP="00EF0D3F">
      <w:pPr>
        <w:pStyle w:val="ConsPlusTitle"/>
        <w:tabs>
          <w:tab w:val="left" w:pos="1276"/>
        </w:tabs>
        <w:spacing w:line="360" w:lineRule="auto"/>
        <w:ind w:firstLine="709"/>
        <w:jc w:val="both"/>
        <w:rPr>
          <w:rFonts w:eastAsiaTheme="minorHAnsi"/>
          <w:b w:val="0"/>
          <w:bCs w:val="0"/>
          <w:sz w:val="30"/>
          <w:szCs w:val="30"/>
          <w:lang w:eastAsia="en-US"/>
        </w:rPr>
      </w:pPr>
      <w:r w:rsidRPr="00F547D6">
        <w:rPr>
          <w:rFonts w:eastAsiaTheme="minorHAnsi"/>
          <w:b w:val="0"/>
          <w:bCs w:val="0"/>
          <w:sz w:val="30"/>
          <w:szCs w:val="30"/>
          <w:lang w:eastAsia="en-US"/>
        </w:rPr>
        <w:lastRenderedPageBreak/>
        <w:t xml:space="preserve">Долгосрочные прогнозы являются инструментом инвестиционной привлекательности и позволяют оценивать тренды развития агропромышленных комплексов государств – членов Союза </w:t>
      </w:r>
      <w:r w:rsidR="00F547D6">
        <w:rPr>
          <w:rFonts w:eastAsiaTheme="minorHAnsi"/>
          <w:b w:val="0"/>
          <w:bCs w:val="0"/>
          <w:sz w:val="30"/>
          <w:szCs w:val="30"/>
          <w:lang w:eastAsia="en-US"/>
        </w:rPr>
        <w:br/>
      </w:r>
      <w:r w:rsidRPr="00F547D6">
        <w:rPr>
          <w:rFonts w:eastAsiaTheme="minorHAnsi"/>
          <w:b w:val="0"/>
          <w:bCs w:val="0"/>
          <w:sz w:val="30"/>
          <w:szCs w:val="30"/>
          <w:lang w:eastAsia="en-US"/>
        </w:rPr>
        <w:t>на длительную перспективу, а также их потенциальные производственные и потребительские ниши.</w:t>
      </w:r>
    </w:p>
    <w:p w:rsidR="00276D5F" w:rsidRPr="00F547D6" w:rsidRDefault="00206A70" w:rsidP="00EF0D3F">
      <w:pPr>
        <w:widowControl w:val="0"/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F547D6">
        <w:rPr>
          <w:rFonts w:eastAsia="Times New Roman"/>
          <w:spacing w:val="-4"/>
          <w:sz w:val="30"/>
          <w:szCs w:val="30"/>
          <w:lang w:val="ru" w:eastAsia="ru-RU"/>
        </w:rPr>
        <w:t>П</w:t>
      </w:r>
      <w:r w:rsidR="00276D5F" w:rsidRPr="00F547D6">
        <w:rPr>
          <w:rFonts w:eastAsia="Times New Roman"/>
          <w:spacing w:val="-4"/>
          <w:sz w:val="30"/>
          <w:szCs w:val="30"/>
          <w:lang w:val="ru" w:eastAsia="ru-RU"/>
        </w:rPr>
        <w:t xml:space="preserve">рогнозы отражают совокупность </w:t>
      </w:r>
      <w:r w:rsidR="00545F27" w:rsidRPr="00F547D6">
        <w:rPr>
          <w:rFonts w:eastAsia="Times New Roman"/>
          <w:spacing w:val="-4"/>
          <w:sz w:val="30"/>
          <w:szCs w:val="30"/>
          <w:lang w:val="ru" w:eastAsia="ru-RU"/>
        </w:rPr>
        <w:t xml:space="preserve">таких </w:t>
      </w:r>
      <w:r w:rsidR="00276D5F" w:rsidRPr="00F547D6">
        <w:rPr>
          <w:rFonts w:eastAsia="Times New Roman"/>
          <w:spacing w:val="-4"/>
          <w:sz w:val="30"/>
          <w:szCs w:val="30"/>
          <w:lang w:val="ru" w:eastAsia="ru-RU"/>
        </w:rPr>
        <w:t>экономических показателей</w:t>
      </w:r>
      <w:r w:rsidR="00276D5F" w:rsidRPr="00F547D6">
        <w:rPr>
          <w:rFonts w:eastAsia="Times New Roman"/>
          <w:sz w:val="30"/>
          <w:szCs w:val="30"/>
          <w:lang w:val="ru" w:eastAsia="ru-RU"/>
        </w:rPr>
        <w:t xml:space="preserve"> развития сельского хозяйства</w:t>
      </w:r>
      <w:r w:rsidR="00545F27" w:rsidRPr="00F547D6">
        <w:rPr>
          <w:rFonts w:eastAsia="Times New Roman"/>
          <w:sz w:val="30"/>
          <w:szCs w:val="30"/>
          <w:lang w:val="ru" w:eastAsia="ru-RU"/>
        </w:rPr>
        <w:t xml:space="preserve">, как </w:t>
      </w:r>
      <w:r w:rsidR="00276D5F" w:rsidRPr="00F547D6">
        <w:rPr>
          <w:rFonts w:eastAsia="Times New Roman"/>
          <w:sz w:val="30"/>
          <w:szCs w:val="30"/>
          <w:lang w:val="ru" w:eastAsia="ru-RU"/>
        </w:rPr>
        <w:t xml:space="preserve">численность занятых в сельском хозяйстве, валовое производство продукции сельского хозяйства </w:t>
      </w:r>
      <w:r w:rsidR="00F547D6">
        <w:rPr>
          <w:rFonts w:eastAsia="Times New Roman"/>
          <w:sz w:val="30"/>
          <w:szCs w:val="30"/>
          <w:lang w:val="ru" w:eastAsia="ru-RU"/>
        </w:rPr>
        <w:br/>
      </w:r>
      <w:r w:rsidR="00276D5F" w:rsidRPr="00F547D6">
        <w:rPr>
          <w:rFonts w:eastAsia="Times New Roman"/>
          <w:sz w:val="30"/>
          <w:szCs w:val="30"/>
          <w:lang w:val="ru" w:eastAsia="ru-RU"/>
        </w:rPr>
        <w:t>в хозяйствах всех категорий, в том числе на одного занятого в сельском хозяйстве, внешняя и взаимная торговля сельскохозяйственными товарами, уровень самообеспеченности по основным видам продукции АПК</w:t>
      </w:r>
      <w:r w:rsidR="00545F27" w:rsidRPr="00F547D6">
        <w:rPr>
          <w:rFonts w:eastAsia="Times New Roman"/>
          <w:sz w:val="30"/>
          <w:szCs w:val="30"/>
          <w:lang w:val="ru" w:eastAsia="ru-RU"/>
        </w:rPr>
        <w:t>, а также</w:t>
      </w:r>
      <w:r w:rsidR="00276D5F" w:rsidRPr="00F547D6">
        <w:rPr>
          <w:rFonts w:eastAsia="Times New Roman"/>
          <w:sz w:val="30"/>
          <w:szCs w:val="30"/>
          <w:lang w:val="ru" w:eastAsia="ru-RU"/>
        </w:rPr>
        <w:t xml:space="preserve"> перспективы развития отдельных сегментов рынка </w:t>
      </w:r>
      <w:r w:rsidR="00F547D6">
        <w:rPr>
          <w:rFonts w:eastAsia="Times New Roman"/>
          <w:sz w:val="30"/>
          <w:szCs w:val="30"/>
          <w:lang w:val="ru" w:eastAsia="ru-RU"/>
        </w:rPr>
        <w:br/>
      </w:r>
      <w:r w:rsidR="00276D5F" w:rsidRPr="00F547D6">
        <w:rPr>
          <w:rFonts w:eastAsia="Times New Roman"/>
          <w:sz w:val="30"/>
          <w:szCs w:val="30"/>
          <w:lang w:val="ru" w:eastAsia="ru-RU"/>
        </w:rPr>
        <w:t>по базовой продукции сельского хозяйства</w:t>
      </w:r>
      <w:r w:rsidR="004F48B0">
        <w:rPr>
          <w:rFonts w:eastAsia="Times New Roman"/>
          <w:sz w:val="30"/>
          <w:szCs w:val="30"/>
          <w:lang w:val="ru" w:eastAsia="ru-RU"/>
        </w:rPr>
        <w:t xml:space="preserve"> </w:t>
      </w:r>
      <w:r w:rsidR="004F48B0" w:rsidRPr="004F48B0">
        <w:rPr>
          <w:rFonts w:eastAsia="Times New Roman"/>
          <w:sz w:val="30"/>
          <w:szCs w:val="30"/>
          <w:lang w:val="ru" w:eastAsia="ru-RU"/>
        </w:rPr>
        <w:t>и продуктам ее переработки.</w:t>
      </w:r>
    </w:p>
    <w:p w:rsidR="00921A8B" w:rsidRPr="00F547D6" w:rsidRDefault="00DD5A90" w:rsidP="00EF0D3F">
      <w:pPr>
        <w:widowControl w:val="0"/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F547D6">
        <w:rPr>
          <w:rFonts w:eastAsia="Times New Roman"/>
          <w:sz w:val="30"/>
          <w:szCs w:val="30"/>
          <w:lang w:eastAsia="ru-RU"/>
        </w:rPr>
        <w:t xml:space="preserve">Проектом Рекомендации Коллегии Комиссии предлагается </w:t>
      </w:r>
      <w:r w:rsidR="008724F9" w:rsidRPr="00F547D6">
        <w:rPr>
          <w:rFonts w:eastAsia="Times New Roman"/>
          <w:sz w:val="30"/>
          <w:szCs w:val="30"/>
          <w:lang w:eastAsia="ru-RU"/>
        </w:rPr>
        <w:t xml:space="preserve">одобрить Прогнозы </w:t>
      </w:r>
      <w:r w:rsidR="002359EB" w:rsidRPr="00F547D6">
        <w:rPr>
          <w:rFonts w:eastAsia="Times New Roman"/>
          <w:sz w:val="30"/>
          <w:szCs w:val="30"/>
          <w:lang w:eastAsia="ru-RU"/>
        </w:rPr>
        <w:t xml:space="preserve">с последующим их </w:t>
      </w:r>
      <w:r w:rsidR="008724F9" w:rsidRPr="00F547D6">
        <w:rPr>
          <w:rFonts w:eastAsia="Times New Roman"/>
          <w:sz w:val="30"/>
          <w:szCs w:val="30"/>
          <w:lang w:eastAsia="ru-RU"/>
        </w:rPr>
        <w:t>использовани</w:t>
      </w:r>
      <w:r w:rsidR="002359EB" w:rsidRPr="00F547D6">
        <w:rPr>
          <w:rFonts w:eastAsia="Times New Roman"/>
          <w:sz w:val="30"/>
          <w:szCs w:val="30"/>
          <w:lang w:eastAsia="ru-RU"/>
        </w:rPr>
        <w:t xml:space="preserve">ем </w:t>
      </w:r>
      <w:r w:rsidR="008724F9" w:rsidRPr="00F547D6">
        <w:rPr>
          <w:rFonts w:eastAsia="Times New Roman"/>
          <w:sz w:val="30"/>
          <w:szCs w:val="30"/>
          <w:lang w:eastAsia="ru-RU"/>
        </w:rPr>
        <w:t xml:space="preserve">уполномоченными государственными органами государств – членов </w:t>
      </w:r>
      <w:r w:rsidR="00E84C3C" w:rsidRPr="00F547D6">
        <w:rPr>
          <w:rFonts w:eastAsia="Times New Roman"/>
          <w:sz w:val="30"/>
          <w:szCs w:val="30"/>
          <w:lang w:eastAsia="ru-RU"/>
        </w:rPr>
        <w:t xml:space="preserve">Союза </w:t>
      </w:r>
      <w:r w:rsidR="008724F9" w:rsidRPr="00F547D6">
        <w:rPr>
          <w:rFonts w:eastAsia="Times New Roman"/>
          <w:sz w:val="30"/>
          <w:szCs w:val="30"/>
          <w:lang w:eastAsia="ru-RU"/>
        </w:rPr>
        <w:t xml:space="preserve">при разработке национальных прогнозных балансов спроса </w:t>
      </w:r>
      <w:r w:rsidR="00F547D6">
        <w:rPr>
          <w:rFonts w:eastAsia="Times New Roman"/>
          <w:sz w:val="30"/>
          <w:szCs w:val="30"/>
          <w:lang w:eastAsia="ru-RU"/>
        </w:rPr>
        <w:br/>
      </w:r>
      <w:r w:rsidR="008724F9" w:rsidRPr="00F547D6">
        <w:rPr>
          <w:rFonts w:eastAsia="Times New Roman"/>
          <w:sz w:val="30"/>
          <w:szCs w:val="30"/>
          <w:lang w:eastAsia="ru-RU"/>
        </w:rPr>
        <w:t xml:space="preserve">и предложения по сельскохозяйственной продукции, продовольствию, льноволокну, кожевенному сырью, </w:t>
      </w:r>
      <w:proofErr w:type="spellStart"/>
      <w:r w:rsidR="008724F9" w:rsidRPr="00F547D6">
        <w:rPr>
          <w:rFonts w:eastAsia="Times New Roman"/>
          <w:sz w:val="30"/>
          <w:szCs w:val="30"/>
          <w:lang w:eastAsia="ru-RU"/>
        </w:rPr>
        <w:t>хлопковолокну</w:t>
      </w:r>
      <w:proofErr w:type="spellEnd"/>
      <w:r w:rsidR="008724F9" w:rsidRPr="00F547D6">
        <w:rPr>
          <w:rFonts w:eastAsia="Times New Roman"/>
          <w:sz w:val="30"/>
          <w:szCs w:val="30"/>
          <w:lang w:eastAsia="ru-RU"/>
        </w:rPr>
        <w:t xml:space="preserve"> и шерсти </w:t>
      </w:r>
      <w:r w:rsidR="00F547D6">
        <w:rPr>
          <w:rFonts w:eastAsia="Times New Roman"/>
          <w:sz w:val="30"/>
          <w:szCs w:val="30"/>
          <w:lang w:eastAsia="ru-RU"/>
        </w:rPr>
        <w:br/>
      </w:r>
      <w:r w:rsidR="008724F9" w:rsidRPr="00F547D6">
        <w:rPr>
          <w:rFonts w:eastAsia="Times New Roman"/>
          <w:sz w:val="30"/>
          <w:szCs w:val="30"/>
          <w:lang w:eastAsia="ru-RU"/>
        </w:rPr>
        <w:t>в соответствии с Методологией, одобренной Рекомендацией Коллегии Коми</w:t>
      </w:r>
      <w:r w:rsidR="00A92338" w:rsidRPr="00F547D6">
        <w:rPr>
          <w:rFonts w:eastAsia="Times New Roman"/>
          <w:sz w:val="30"/>
          <w:szCs w:val="30"/>
          <w:lang w:eastAsia="ru-RU"/>
        </w:rPr>
        <w:t>ссии от 6 сентября 2016 г. № 15</w:t>
      </w:r>
      <w:r w:rsidR="004D5A8F" w:rsidRPr="00F547D6">
        <w:rPr>
          <w:rFonts w:eastAsia="Times New Roman"/>
          <w:sz w:val="30"/>
          <w:szCs w:val="30"/>
          <w:lang w:eastAsia="ru-RU"/>
        </w:rPr>
        <w:t>.</w:t>
      </w:r>
    </w:p>
    <w:p w:rsidR="004212AC" w:rsidRPr="004212AC" w:rsidRDefault="00921A8B" w:rsidP="00EF0D3F">
      <w:pPr>
        <w:widowControl w:val="0"/>
        <w:spacing w:after="0" w:line="312" w:lineRule="auto"/>
        <w:ind w:firstLine="709"/>
        <w:jc w:val="both"/>
        <w:rPr>
          <w:rFonts w:eastAsia="Times New Roman"/>
          <w:sz w:val="12"/>
          <w:szCs w:val="12"/>
          <w:lang w:val="ru" w:eastAsia="ru-RU"/>
        </w:rPr>
      </w:pPr>
      <w:r w:rsidRPr="004212AC">
        <w:rPr>
          <w:b/>
          <w:i/>
          <w:sz w:val="26"/>
          <w:szCs w:val="26"/>
          <w:u w:val="single"/>
        </w:rPr>
        <w:t>Справочно:</w:t>
      </w:r>
      <w:r w:rsidRPr="004212AC">
        <w:rPr>
          <w:sz w:val="26"/>
          <w:szCs w:val="26"/>
        </w:rPr>
        <w:t xml:space="preserve"> </w:t>
      </w:r>
      <w:r w:rsidRPr="004212AC">
        <w:rPr>
          <w:i/>
          <w:sz w:val="26"/>
          <w:szCs w:val="26"/>
        </w:rPr>
        <w:t xml:space="preserve">Ежегодно Евразийским межправительственным советом рассматриваются совместные прогнозы развития агропромышленного комплекса, балансы спроса и предложения государств-членов </w:t>
      </w:r>
      <w:r w:rsidR="00E84C3C" w:rsidRPr="004212AC">
        <w:rPr>
          <w:i/>
          <w:sz w:val="26"/>
          <w:szCs w:val="26"/>
        </w:rPr>
        <w:t>Союза</w:t>
      </w:r>
      <w:r w:rsidRPr="004212AC">
        <w:rPr>
          <w:i/>
          <w:sz w:val="26"/>
          <w:szCs w:val="26"/>
        </w:rPr>
        <w:t xml:space="preserve"> по сельскохозяйственной продукции, продовольствию, льноволокну, кожевенному сырью, </w:t>
      </w:r>
      <w:proofErr w:type="spellStart"/>
      <w:r w:rsidRPr="004212AC">
        <w:rPr>
          <w:i/>
          <w:sz w:val="26"/>
          <w:szCs w:val="26"/>
        </w:rPr>
        <w:t>хлопковолокну</w:t>
      </w:r>
      <w:proofErr w:type="spellEnd"/>
      <w:r w:rsidRPr="004212AC">
        <w:rPr>
          <w:i/>
          <w:sz w:val="26"/>
          <w:szCs w:val="26"/>
        </w:rPr>
        <w:t xml:space="preserve"> </w:t>
      </w:r>
      <w:r w:rsidR="004212AC">
        <w:rPr>
          <w:i/>
          <w:sz w:val="26"/>
          <w:szCs w:val="26"/>
        </w:rPr>
        <w:br/>
      </w:r>
      <w:r w:rsidRPr="004212AC">
        <w:rPr>
          <w:i/>
          <w:sz w:val="26"/>
          <w:szCs w:val="26"/>
        </w:rPr>
        <w:t xml:space="preserve">и шерсти на краткосрочный период (2 года), разрабатываемые Департаментом в соответствии с перечнем индикативных показателей развития АПК, утвержденным Решением Совета Комиссии от 4 февраля 2015 г. № 2 </w:t>
      </w:r>
      <w:r w:rsidR="004212AC">
        <w:rPr>
          <w:i/>
          <w:sz w:val="26"/>
          <w:szCs w:val="26"/>
        </w:rPr>
        <w:br/>
      </w:r>
      <w:r w:rsidRPr="004212AC">
        <w:rPr>
          <w:i/>
          <w:sz w:val="26"/>
          <w:szCs w:val="26"/>
        </w:rPr>
        <w:t>и Методологией расчета сводных прогнозных балансов спроса и предложения, утвержденной распоряжением Коллегии Комиссии от 6 сентября 2016 г. № 134.</w:t>
      </w:r>
    </w:p>
    <w:p w:rsidR="000929D3" w:rsidRPr="00F547D6" w:rsidRDefault="000929D3" w:rsidP="00226579">
      <w:pPr>
        <w:widowControl w:val="0"/>
        <w:spacing w:after="0" w:line="360" w:lineRule="auto"/>
        <w:ind w:firstLine="709"/>
        <w:jc w:val="both"/>
        <w:rPr>
          <w:rFonts w:eastAsia="Times New Roman"/>
          <w:sz w:val="30"/>
          <w:szCs w:val="30"/>
          <w:lang w:val="ru" w:eastAsia="ru-RU"/>
        </w:rPr>
      </w:pPr>
      <w:r w:rsidRPr="00F547D6">
        <w:rPr>
          <w:rFonts w:eastAsia="Times New Roman"/>
          <w:sz w:val="30"/>
          <w:szCs w:val="30"/>
          <w:lang w:val="ru" w:eastAsia="ru-RU"/>
        </w:rPr>
        <w:lastRenderedPageBreak/>
        <w:t>В соответствии с пункт</w:t>
      </w:r>
      <w:r w:rsidR="00ED1100" w:rsidRPr="00F547D6">
        <w:rPr>
          <w:rFonts w:eastAsia="Times New Roman"/>
          <w:sz w:val="30"/>
          <w:szCs w:val="30"/>
          <w:lang w:val="ru" w:eastAsia="ru-RU"/>
        </w:rPr>
        <w:t>ом</w:t>
      </w:r>
      <w:r w:rsidRPr="00F547D6">
        <w:rPr>
          <w:rFonts w:eastAsia="Times New Roman"/>
          <w:sz w:val="30"/>
          <w:szCs w:val="30"/>
          <w:lang w:val="ru" w:eastAsia="ru-RU"/>
        </w:rPr>
        <w:t xml:space="preserve"> 142 Регламента работы </w:t>
      </w:r>
      <w:r w:rsidR="00E26AD4" w:rsidRPr="00F547D6">
        <w:rPr>
          <w:rFonts w:eastAsia="Times New Roman"/>
          <w:sz w:val="30"/>
          <w:szCs w:val="30"/>
          <w:lang w:val="ru" w:eastAsia="ru-RU"/>
        </w:rPr>
        <w:t>К</w:t>
      </w:r>
      <w:r w:rsidRPr="00F547D6">
        <w:rPr>
          <w:rFonts w:eastAsia="Times New Roman"/>
          <w:sz w:val="30"/>
          <w:szCs w:val="30"/>
          <w:lang w:val="ru" w:eastAsia="ru-RU"/>
        </w:rPr>
        <w:t>омиссии проект Рекомендации не подлежит оценке регулирующего воздействия.</w:t>
      </w:r>
      <w:r w:rsidR="00E26AD4" w:rsidRPr="00F547D6">
        <w:rPr>
          <w:rFonts w:eastAsia="Times New Roman"/>
          <w:sz w:val="30"/>
          <w:szCs w:val="30"/>
          <w:lang w:val="ru" w:eastAsia="ru-RU"/>
        </w:rPr>
        <w:t xml:space="preserve"> </w:t>
      </w:r>
      <w:r w:rsidRPr="00F547D6">
        <w:rPr>
          <w:rFonts w:eastAsia="Times New Roman"/>
          <w:sz w:val="30"/>
          <w:szCs w:val="30"/>
          <w:lang w:val="ru" w:eastAsia="ru-RU"/>
        </w:rPr>
        <w:t>Принятие Рекомендации не повлечет расходов из бюджета Союза.</w:t>
      </w:r>
    </w:p>
    <w:p w:rsidR="000929D3" w:rsidRPr="00F547D6" w:rsidRDefault="000929D3" w:rsidP="00226579">
      <w:pPr>
        <w:widowControl w:val="0"/>
        <w:spacing w:after="0" w:line="360" w:lineRule="auto"/>
        <w:ind w:firstLine="709"/>
        <w:jc w:val="both"/>
        <w:rPr>
          <w:rFonts w:eastAsia="Times New Roman"/>
          <w:b/>
          <w:bCs/>
          <w:sz w:val="30"/>
          <w:szCs w:val="30"/>
          <w:lang w:val="ru" w:eastAsia="ru-RU"/>
        </w:rPr>
      </w:pPr>
      <w:r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Предлагается одобрить </w:t>
      </w:r>
      <w:r w:rsidR="00CE4F2D">
        <w:rPr>
          <w:rFonts w:eastAsia="Times New Roman"/>
          <w:b/>
          <w:bCs/>
          <w:sz w:val="30"/>
          <w:szCs w:val="30"/>
          <w:lang w:val="ru" w:eastAsia="ru-RU"/>
        </w:rPr>
        <w:t>рекомендацию</w:t>
      </w:r>
      <w:r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 </w:t>
      </w:r>
      <w:r w:rsidR="00112251" w:rsidRPr="00F547D6">
        <w:rPr>
          <w:rFonts w:eastAsia="Times New Roman"/>
          <w:b/>
          <w:bCs/>
          <w:sz w:val="30"/>
          <w:szCs w:val="30"/>
          <w:lang w:val="ru" w:eastAsia="ru-RU"/>
        </w:rPr>
        <w:t>Коллегии Евразийской экономической</w:t>
      </w:r>
      <w:r w:rsidR="00B634A3"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 </w:t>
      </w:r>
      <w:r w:rsidR="00112251"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комиссии </w:t>
      </w:r>
      <w:r w:rsidR="00C347B0" w:rsidRPr="00F547D6">
        <w:rPr>
          <w:rFonts w:eastAsia="Times New Roman"/>
          <w:b/>
          <w:bCs/>
          <w:sz w:val="30"/>
          <w:szCs w:val="30"/>
          <w:lang w:val="ru" w:eastAsia="ru-RU"/>
        </w:rPr>
        <w:t>«О прогнозах развития агропромышленных комплексов государств – членов Евразийского экономического союза на среднесрочный период 2021</w:t>
      </w:r>
      <w:r w:rsidR="003E3547"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 </w:t>
      </w:r>
      <w:r w:rsidR="00C347B0" w:rsidRPr="00F547D6">
        <w:rPr>
          <w:rFonts w:eastAsia="Times New Roman"/>
          <w:b/>
          <w:bCs/>
          <w:sz w:val="30"/>
          <w:szCs w:val="30"/>
          <w:lang w:val="ru" w:eastAsia="ru-RU"/>
        </w:rPr>
        <w:t xml:space="preserve">– 2025 годов </w:t>
      </w:r>
      <w:r w:rsidR="00F547D6">
        <w:rPr>
          <w:rFonts w:eastAsia="Times New Roman"/>
          <w:b/>
          <w:bCs/>
          <w:sz w:val="30"/>
          <w:szCs w:val="30"/>
          <w:lang w:val="ru" w:eastAsia="ru-RU"/>
        </w:rPr>
        <w:br/>
      </w:r>
      <w:r w:rsidR="00C347B0" w:rsidRPr="00F547D6">
        <w:rPr>
          <w:rFonts w:eastAsia="Times New Roman"/>
          <w:b/>
          <w:bCs/>
          <w:sz w:val="30"/>
          <w:szCs w:val="30"/>
          <w:lang w:val="ru" w:eastAsia="ru-RU"/>
        </w:rPr>
        <w:t>и на долгосрочный период 2021 – 2030 годов»</w:t>
      </w:r>
      <w:r w:rsidRPr="00F547D6">
        <w:rPr>
          <w:rFonts w:eastAsia="Times New Roman"/>
          <w:b/>
          <w:bCs/>
          <w:sz w:val="30"/>
          <w:szCs w:val="30"/>
          <w:lang w:val="ru" w:eastAsia="ru-RU"/>
        </w:rPr>
        <w:t>.</w:t>
      </w:r>
    </w:p>
    <w:p w:rsidR="00A92338" w:rsidRPr="00F547D6" w:rsidRDefault="00A92338" w:rsidP="00226579">
      <w:pPr>
        <w:widowControl w:val="0"/>
        <w:spacing w:after="0" w:line="360" w:lineRule="auto"/>
        <w:ind w:firstLine="709"/>
        <w:jc w:val="both"/>
        <w:rPr>
          <w:rFonts w:eastAsia="Times New Roman"/>
          <w:b/>
          <w:bCs/>
          <w:sz w:val="30"/>
          <w:szCs w:val="30"/>
          <w:lang w:val="ru" w:eastAsia="ru-RU"/>
        </w:rPr>
      </w:pPr>
    </w:p>
    <w:p w:rsidR="00A369C6" w:rsidRPr="001D0CEB" w:rsidRDefault="00AB6F96" w:rsidP="00226579">
      <w:pPr>
        <w:spacing w:after="0" w:line="360" w:lineRule="auto"/>
        <w:ind w:firstLine="709"/>
        <w:jc w:val="both"/>
        <w:rPr>
          <w:b/>
          <w:i/>
          <w:sz w:val="30"/>
          <w:szCs w:val="30"/>
        </w:rPr>
      </w:pPr>
      <w:r w:rsidRPr="001D0CEB">
        <w:rPr>
          <w:b/>
          <w:i/>
          <w:sz w:val="30"/>
          <w:szCs w:val="30"/>
        </w:rPr>
        <w:t>Прилагается</w:t>
      </w:r>
      <w:r w:rsidR="00A369C6" w:rsidRPr="001D0CEB">
        <w:rPr>
          <w:b/>
          <w:i/>
          <w:sz w:val="30"/>
          <w:szCs w:val="30"/>
        </w:rPr>
        <w:t>:</w:t>
      </w:r>
    </w:p>
    <w:p w:rsidR="00A369C6" w:rsidRPr="001D0CEB" w:rsidRDefault="00A369C6" w:rsidP="00226579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i/>
          <w:sz w:val="30"/>
          <w:szCs w:val="30"/>
        </w:rPr>
      </w:pPr>
      <w:r w:rsidRPr="001D0CEB">
        <w:rPr>
          <w:i/>
          <w:sz w:val="30"/>
          <w:szCs w:val="30"/>
        </w:rPr>
        <w:t>Проект</w:t>
      </w:r>
      <w:r w:rsidR="009A3635" w:rsidRPr="001D0CEB">
        <w:rPr>
          <w:i/>
          <w:sz w:val="30"/>
          <w:szCs w:val="30"/>
        </w:rPr>
        <w:t xml:space="preserve"> реко</w:t>
      </w:r>
      <w:r w:rsidR="001D0CEB" w:rsidRPr="001D0CEB">
        <w:rPr>
          <w:i/>
          <w:sz w:val="30"/>
          <w:szCs w:val="30"/>
        </w:rPr>
        <w:t>мендации Коллегии Комиссии на 1</w:t>
      </w:r>
      <w:r w:rsidR="009A3635" w:rsidRPr="001D0CEB">
        <w:rPr>
          <w:i/>
          <w:sz w:val="30"/>
          <w:szCs w:val="30"/>
        </w:rPr>
        <w:t xml:space="preserve"> л. в 1 экз.</w:t>
      </w:r>
    </w:p>
    <w:p w:rsidR="00B634A3" w:rsidRPr="001D0CEB" w:rsidRDefault="009A3635" w:rsidP="00226579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eastAsia="Times New Roman"/>
          <w:i/>
          <w:sz w:val="30"/>
          <w:szCs w:val="30"/>
          <w:lang w:val="ru" w:eastAsia="ru-RU"/>
        </w:rPr>
      </w:pPr>
      <w:r w:rsidRPr="001D0CEB">
        <w:rPr>
          <w:rFonts w:eastAsia="Times New Roman"/>
          <w:i/>
          <w:sz w:val="30"/>
          <w:szCs w:val="30"/>
          <w:lang w:val="ru" w:eastAsia="ru-RU"/>
        </w:rPr>
        <w:t xml:space="preserve">Финансово-экономическое обоснование </w:t>
      </w:r>
      <w:r w:rsidR="00B634A3" w:rsidRPr="001D0CEB">
        <w:rPr>
          <w:rFonts w:eastAsia="Times New Roman"/>
          <w:i/>
          <w:sz w:val="30"/>
          <w:szCs w:val="30"/>
          <w:lang w:val="ru" w:eastAsia="ru-RU"/>
        </w:rPr>
        <w:t>проекта рекомендации Коллегии Комиссии</w:t>
      </w:r>
      <w:r w:rsidRPr="001D0CEB">
        <w:rPr>
          <w:rFonts w:eastAsia="Times New Roman"/>
          <w:i/>
          <w:sz w:val="30"/>
          <w:szCs w:val="30"/>
          <w:lang w:val="ru" w:eastAsia="ru-RU"/>
        </w:rPr>
        <w:t xml:space="preserve"> на 1 л. в 1 экз.</w:t>
      </w:r>
    </w:p>
    <w:p w:rsidR="004627E8" w:rsidRPr="00A05C86" w:rsidRDefault="004627E8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4627E8" w:rsidRPr="00A05C86" w:rsidRDefault="004627E8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  <w:bookmarkStart w:id="3" w:name="_GoBack"/>
      <w:bookmarkEnd w:id="3"/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4031F2" w:rsidRPr="00A05C86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204884" w:rsidRDefault="00204884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1D0CEB" w:rsidRDefault="001D0CEB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F547D6" w:rsidRDefault="00F547D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8F0045" w:rsidRDefault="008F0045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226579" w:rsidRDefault="00226579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226579" w:rsidRDefault="00226579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226579" w:rsidRDefault="00226579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031F2" w:rsidRDefault="004031F2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4627E8" w:rsidRDefault="004627E8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7956A6" w:rsidRPr="00E84C3C" w:rsidRDefault="007956A6" w:rsidP="00982A7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4"/>
          <w:szCs w:val="4"/>
          <w:lang w:val="ru" w:eastAsia="ru-RU"/>
        </w:rPr>
      </w:pPr>
    </w:p>
    <w:p w:rsidR="00982A72" w:rsidRPr="00E84C3C" w:rsidRDefault="00C61477" w:rsidP="00982A72">
      <w:pPr>
        <w:tabs>
          <w:tab w:val="center" w:pos="4677"/>
          <w:tab w:val="right" w:pos="9355"/>
        </w:tabs>
        <w:spacing w:after="0" w:line="240" w:lineRule="auto"/>
        <w:rPr>
          <w:rFonts w:cstheme="minorBidi"/>
          <w:sz w:val="20"/>
          <w:szCs w:val="20"/>
        </w:rPr>
      </w:pPr>
      <w:r w:rsidRPr="00E84C3C">
        <w:rPr>
          <w:rFonts w:cstheme="minorBidi"/>
          <w:sz w:val="20"/>
          <w:szCs w:val="20"/>
        </w:rPr>
        <w:t>Гольева Н.В.,</w:t>
      </w:r>
    </w:p>
    <w:p w:rsidR="00E45403" w:rsidRPr="00E84C3C" w:rsidRDefault="00982A72" w:rsidP="00982A72">
      <w:pPr>
        <w:widowControl w:val="0"/>
        <w:shd w:val="clear" w:color="auto" w:fill="FFFFFF"/>
        <w:spacing w:after="0" w:line="240" w:lineRule="auto"/>
        <w:ind w:right="20"/>
        <w:jc w:val="both"/>
        <w:rPr>
          <w:sz w:val="20"/>
          <w:szCs w:val="20"/>
        </w:rPr>
      </w:pPr>
      <w:r w:rsidRPr="00E84C3C">
        <w:rPr>
          <w:rFonts w:cstheme="minorBidi"/>
          <w:sz w:val="20"/>
          <w:szCs w:val="20"/>
        </w:rPr>
        <w:t>+(495) 669-24-00 доб. 48</w:t>
      </w:r>
      <w:r w:rsidR="00C61477" w:rsidRPr="00E84C3C">
        <w:rPr>
          <w:rFonts w:cstheme="minorBidi"/>
          <w:sz w:val="20"/>
          <w:szCs w:val="20"/>
        </w:rPr>
        <w:t>97</w:t>
      </w:r>
    </w:p>
    <w:sectPr w:rsidR="00E45403" w:rsidRPr="00E84C3C" w:rsidSect="0019554D">
      <w:headerReference w:type="even" r:id="rId7"/>
      <w:headerReference w:type="default" r:id="rId8"/>
      <w:pgSz w:w="11909" w:h="16834"/>
      <w:pgMar w:top="1134" w:right="851" w:bottom="1134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03" w:rsidRDefault="00FD1803">
      <w:pPr>
        <w:spacing w:after="0" w:line="240" w:lineRule="auto"/>
      </w:pPr>
      <w:r>
        <w:separator/>
      </w:r>
    </w:p>
  </w:endnote>
  <w:endnote w:type="continuationSeparator" w:id="0">
    <w:p w:rsidR="00FD1803" w:rsidRDefault="00FD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03" w:rsidRDefault="00FD1803">
      <w:pPr>
        <w:spacing w:after="0" w:line="240" w:lineRule="auto"/>
      </w:pPr>
      <w:r>
        <w:separator/>
      </w:r>
    </w:p>
  </w:footnote>
  <w:footnote w:type="continuationSeparator" w:id="0">
    <w:p w:rsidR="00FD1803" w:rsidRDefault="00FD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776666"/>
      <w:docPartObj>
        <w:docPartGallery w:val="Page Numbers (Top of Page)"/>
        <w:docPartUnique/>
      </w:docPartObj>
    </w:sdtPr>
    <w:sdtEndPr/>
    <w:sdtContent>
      <w:p w:rsidR="007B3A58" w:rsidRDefault="007D0D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3A58">
          <w:rPr>
            <w:noProof/>
            <w:lang w:val="ru-RU"/>
          </w:rPr>
          <w:t>2</w:t>
        </w:r>
        <w:r>
          <w:fldChar w:fldCharType="end"/>
        </w:r>
      </w:p>
    </w:sdtContent>
  </w:sdt>
  <w:p w:rsidR="00AB00D6" w:rsidRDefault="00CE4F2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98326"/>
      <w:docPartObj>
        <w:docPartGallery w:val="Page Numbers (Top of Page)"/>
        <w:docPartUnique/>
      </w:docPartObj>
    </w:sdtPr>
    <w:sdtEndPr/>
    <w:sdtContent>
      <w:p w:rsidR="007B3A58" w:rsidRDefault="007D0D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F2D" w:rsidRPr="00CE4F2D">
          <w:rPr>
            <w:noProof/>
            <w:lang w:val="ru-RU"/>
          </w:rPr>
          <w:t>3</w:t>
        </w:r>
        <w:r>
          <w:fldChar w:fldCharType="end"/>
        </w:r>
      </w:p>
    </w:sdtContent>
  </w:sdt>
  <w:p w:rsidR="007B3A58" w:rsidRDefault="00CE4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00201"/>
    <w:multiLevelType w:val="hybridMultilevel"/>
    <w:tmpl w:val="674AF7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3"/>
    <w:rsid w:val="00004AA3"/>
    <w:rsid w:val="00014DD2"/>
    <w:rsid w:val="00026677"/>
    <w:rsid w:val="00046B20"/>
    <w:rsid w:val="00062CC1"/>
    <w:rsid w:val="00090837"/>
    <w:rsid w:val="00090BF7"/>
    <w:rsid w:val="000929D3"/>
    <w:rsid w:val="000B02C6"/>
    <w:rsid w:val="000B2C92"/>
    <w:rsid w:val="000C11D2"/>
    <w:rsid w:val="000C4CBF"/>
    <w:rsid w:val="000D0514"/>
    <w:rsid w:val="0010224C"/>
    <w:rsid w:val="00111F48"/>
    <w:rsid w:val="00112251"/>
    <w:rsid w:val="00122512"/>
    <w:rsid w:val="0013566F"/>
    <w:rsid w:val="001365A2"/>
    <w:rsid w:val="00144F19"/>
    <w:rsid w:val="00153691"/>
    <w:rsid w:val="0019554D"/>
    <w:rsid w:val="001A7E99"/>
    <w:rsid w:val="001B3702"/>
    <w:rsid w:val="001B528D"/>
    <w:rsid w:val="001D0CEB"/>
    <w:rsid w:val="001E62BE"/>
    <w:rsid w:val="00204884"/>
    <w:rsid w:val="00206A70"/>
    <w:rsid w:val="00220972"/>
    <w:rsid w:val="00226579"/>
    <w:rsid w:val="002359EB"/>
    <w:rsid w:val="00274A64"/>
    <w:rsid w:val="00276D5F"/>
    <w:rsid w:val="00295CA8"/>
    <w:rsid w:val="002A0838"/>
    <w:rsid w:val="002A122D"/>
    <w:rsid w:val="002B7A86"/>
    <w:rsid w:val="002C5C28"/>
    <w:rsid w:val="002F42E3"/>
    <w:rsid w:val="002F5BB7"/>
    <w:rsid w:val="0034473F"/>
    <w:rsid w:val="00361334"/>
    <w:rsid w:val="00362E9F"/>
    <w:rsid w:val="003741FF"/>
    <w:rsid w:val="003B578F"/>
    <w:rsid w:val="003B5B88"/>
    <w:rsid w:val="003C04B7"/>
    <w:rsid w:val="003E3547"/>
    <w:rsid w:val="004031F2"/>
    <w:rsid w:val="004212AC"/>
    <w:rsid w:val="00425146"/>
    <w:rsid w:val="00430D47"/>
    <w:rsid w:val="00434C63"/>
    <w:rsid w:val="00445759"/>
    <w:rsid w:val="004463B5"/>
    <w:rsid w:val="004627E8"/>
    <w:rsid w:val="00462900"/>
    <w:rsid w:val="00465C52"/>
    <w:rsid w:val="0047133D"/>
    <w:rsid w:val="0047188B"/>
    <w:rsid w:val="004A4F1E"/>
    <w:rsid w:val="004B0C70"/>
    <w:rsid w:val="004D1410"/>
    <w:rsid w:val="004D5A8F"/>
    <w:rsid w:val="004E273D"/>
    <w:rsid w:val="004F09AA"/>
    <w:rsid w:val="004F48B0"/>
    <w:rsid w:val="005153D6"/>
    <w:rsid w:val="00526BAD"/>
    <w:rsid w:val="00545F27"/>
    <w:rsid w:val="00567E3A"/>
    <w:rsid w:val="00575FA4"/>
    <w:rsid w:val="005843A8"/>
    <w:rsid w:val="00591768"/>
    <w:rsid w:val="005B2A86"/>
    <w:rsid w:val="005E432C"/>
    <w:rsid w:val="005E6FD1"/>
    <w:rsid w:val="0060702B"/>
    <w:rsid w:val="00612A2F"/>
    <w:rsid w:val="00636A34"/>
    <w:rsid w:val="0066065A"/>
    <w:rsid w:val="0066684B"/>
    <w:rsid w:val="00673235"/>
    <w:rsid w:val="00693FEA"/>
    <w:rsid w:val="006A4726"/>
    <w:rsid w:val="006B3378"/>
    <w:rsid w:val="006B3FC7"/>
    <w:rsid w:val="006C24A1"/>
    <w:rsid w:val="006C4384"/>
    <w:rsid w:val="00712481"/>
    <w:rsid w:val="007268EA"/>
    <w:rsid w:val="007418E9"/>
    <w:rsid w:val="00746214"/>
    <w:rsid w:val="007608F8"/>
    <w:rsid w:val="007956A6"/>
    <w:rsid w:val="007C55D3"/>
    <w:rsid w:val="007D091A"/>
    <w:rsid w:val="007D0D0A"/>
    <w:rsid w:val="007E3B0C"/>
    <w:rsid w:val="007F0EEE"/>
    <w:rsid w:val="007F647E"/>
    <w:rsid w:val="00806972"/>
    <w:rsid w:val="008100F7"/>
    <w:rsid w:val="0083318E"/>
    <w:rsid w:val="00844627"/>
    <w:rsid w:val="008548FD"/>
    <w:rsid w:val="008565CD"/>
    <w:rsid w:val="00867AD4"/>
    <w:rsid w:val="00867C67"/>
    <w:rsid w:val="008724F9"/>
    <w:rsid w:val="008832AE"/>
    <w:rsid w:val="00894F9A"/>
    <w:rsid w:val="008A50AF"/>
    <w:rsid w:val="008C3DC4"/>
    <w:rsid w:val="008D0832"/>
    <w:rsid w:val="008F0045"/>
    <w:rsid w:val="008F44FD"/>
    <w:rsid w:val="00921A8B"/>
    <w:rsid w:val="00922E84"/>
    <w:rsid w:val="00946897"/>
    <w:rsid w:val="009611C9"/>
    <w:rsid w:val="00972D5D"/>
    <w:rsid w:val="009746F1"/>
    <w:rsid w:val="0097710F"/>
    <w:rsid w:val="00977748"/>
    <w:rsid w:val="00982A72"/>
    <w:rsid w:val="009A3635"/>
    <w:rsid w:val="009C75B6"/>
    <w:rsid w:val="009D10B5"/>
    <w:rsid w:val="00A05C86"/>
    <w:rsid w:val="00A369C6"/>
    <w:rsid w:val="00A42187"/>
    <w:rsid w:val="00A500FC"/>
    <w:rsid w:val="00A54AE6"/>
    <w:rsid w:val="00A66F90"/>
    <w:rsid w:val="00A92338"/>
    <w:rsid w:val="00AA7F91"/>
    <w:rsid w:val="00AB6F96"/>
    <w:rsid w:val="00AC793D"/>
    <w:rsid w:val="00AD3FC8"/>
    <w:rsid w:val="00B23F22"/>
    <w:rsid w:val="00B27AD8"/>
    <w:rsid w:val="00B4492C"/>
    <w:rsid w:val="00B517AF"/>
    <w:rsid w:val="00B634A3"/>
    <w:rsid w:val="00B90533"/>
    <w:rsid w:val="00B93D3E"/>
    <w:rsid w:val="00BA1A9B"/>
    <w:rsid w:val="00BC67D6"/>
    <w:rsid w:val="00BE1A52"/>
    <w:rsid w:val="00C26C12"/>
    <w:rsid w:val="00C347B0"/>
    <w:rsid w:val="00C61477"/>
    <w:rsid w:val="00C72DC5"/>
    <w:rsid w:val="00CA7744"/>
    <w:rsid w:val="00CE4F2D"/>
    <w:rsid w:val="00CF077C"/>
    <w:rsid w:val="00CF30A2"/>
    <w:rsid w:val="00D16DA1"/>
    <w:rsid w:val="00D2134E"/>
    <w:rsid w:val="00D47D39"/>
    <w:rsid w:val="00D502FE"/>
    <w:rsid w:val="00D51F11"/>
    <w:rsid w:val="00D5384D"/>
    <w:rsid w:val="00D758F2"/>
    <w:rsid w:val="00D76AC7"/>
    <w:rsid w:val="00DA4012"/>
    <w:rsid w:val="00DD2A97"/>
    <w:rsid w:val="00DD5A90"/>
    <w:rsid w:val="00DE22EF"/>
    <w:rsid w:val="00E24D65"/>
    <w:rsid w:val="00E26AD4"/>
    <w:rsid w:val="00E45403"/>
    <w:rsid w:val="00E84C3C"/>
    <w:rsid w:val="00E93C27"/>
    <w:rsid w:val="00EB143D"/>
    <w:rsid w:val="00EB6C5E"/>
    <w:rsid w:val="00EC0102"/>
    <w:rsid w:val="00ED1100"/>
    <w:rsid w:val="00ED23F5"/>
    <w:rsid w:val="00ED2AA2"/>
    <w:rsid w:val="00EE1BB5"/>
    <w:rsid w:val="00EF0D3F"/>
    <w:rsid w:val="00F0313A"/>
    <w:rsid w:val="00F327BF"/>
    <w:rsid w:val="00F473D0"/>
    <w:rsid w:val="00F547D6"/>
    <w:rsid w:val="00F65708"/>
    <w:rsid w:val="00F90052"/>
    <w:rsid w:val="00F97A5F"/>
    <w:rsid w:val="00FA3803"/>
    <w:rsid w:val="00FC2F43"/>
    <w:rsid w:val="00FD1803"/>
    <w:rsid w:val="00FD44C4"/>
    <w:rsid w:val="00FE43C8"/>
    <w:rsid w:val="00FE5A1D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79AC-35DB-4DC9-8AB3-6CE65E64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9D3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4"/>
      <w:szCs w:val="24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29D3"/>
    <w:rPr>
      <w:rFonts w:eastAsia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0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7E3A"/>
    <w:pPr>
      <w:ind w:left="720"/>
      <w:contextualSpacing/>
    </w:pPr>
  </w:style>
  <w:style w:type="paragraph" w:customStyle="1" w:styleId="ConsPlusTitle">
    <w:name w:val="ConsPlusTitle"/>
    <w:uiPriority w:val="99"/>
    <w:rsid w:val="00844627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Каган Ирина Николаевна</cp:lastModifiedBy>
  <cp:revision>84</cp:revision>
  <cp:lastPrinted>2019-05-08T11:49:00Z</cp:lastPrinted>
  <dcterms:created xsi:type="dcterms:W3CDTF">2019-03-22T06:53:00Z</dcterms:created>
  <dcterms:modified xsi:type="dcterms:W3CDTF">2021-09-15T11:53:00Z</dcterms:modified>
</cp:coreProperties>
</file>