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Pr="00BD1139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BD1139">
        <w:rPr>
          <w:noProof/>
          <w:lang w:eastAsia="ru-RU"/>
        </w:rPr>
        <w:drawing>
          <wp:inline distT="0" distB="0" distL="0" distR="0" wp14:anchorId="1FAC106E" wp14:editId="26FEFFBD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Pr="00BD1139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BD1139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BD1139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BD1139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BD1139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BD1139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11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FA5BCD8" wp14:editId="344A7360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738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BD1139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BD1139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BD1139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BD1139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BD1139" w:rsidTr="00D30C19">
        <w:tc>
          <w:tcPr>
            <w:tcW w:w="3544" w:type="dxa"/>
            <w:shd w:val="clear" w:color="auto" w:fill="auto"/>
          </w:tcPr>
          <w:p w:rsidR="00190A8F" w:rsidRPr="00BD1139" w:rsidRDefault="00190A8F" w:rsidP="003D521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3D5213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3D5213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</w:t>
            </w:r>
            <w:r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190A8F" w:rsidRPr="00BD1139" w:rsidRDefault="00190A8F" w:rsidP="003D521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D113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  <w:r w:rsidR="003D5213" w:rsidRPr="00BD113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</w:t>
            </w:r>
          </w:p>
        </w:tc>
        <w:tc>
          <w:tcPr>
            <w:tcW w:w="3793" w:type="dxa"/>
            <w:shd w:val="clear" w:color="auto" w:fill="auto"/>
          </w:tcPr>
          <w:p w:rsidR="00190A8F" w:rsidRPr="00BD1139" w:rsidRDefault="00190A8F" w:rsidP="003D521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7363FD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3D5213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</w:t>
            </w:r>
          </w:p>
        </w:tc>
      </w:tr>
    </w:tbl>
    <w:p w:rsidR="00337E36" w:rsidRPr="00BD1139" w:rsidRDefault="00337E3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37E36" w:rsidRPr="00BD1139" w:rsidRDefault="00371D5F" w:rsidP="008C0D39">
      <w:pPr>
        <w:spacing w:after="0" w:line="240" w:lineRule="auto"/>
        <w:ind w:right="-1"/>
        <w:contextualSpacing/>
        <w:jc w:val="center"/>
        <w:rPr>
          <w:b/>
        </w:rPr>
      </w:pPr>
      <w:r>
        <w:rPr>
          <w:rFonts w:ascii="Times New Roman" w:hAnsi="Times New Roman"/>
          <w:b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2.55pt;margin-top:-229pt;width:522.75pt;height:191.8pt;z-index:-251658240;mso-position-horizontal-relative:text;mso-position-vertical-relative:text">
            <v:imagedata r:id="rId8" o:title=""/>
          </v:shape>
          <o:OLEObject Type="Embed" ProgID="PBrush" ShapeID="_x0000_s1026" DrawAspect="Content" ObjectID="_1584970158" r:id="rId9"/>
        </w:object>
      </w:r>
      <w:r w:rsidR="00337E36" w:rsidRPr="00BD1139">
        <w:rPr>
          <w:rFonts w:ascii="Times New Roman" w:hAnsi="Times New Roman"/>
          <w:b/>
          <w:sz w:val="30"/>
          <w:szCs w:val="30"/>
        </w:rPr>
        <w:t>О</w:t>
      </w:r>
      <w:r w:rsidR="00BD1139" w:rsidRPr="00BD1139">
        <w:rPr>
          <w:rFonts w:ascii="Times New Roman" w:hAnsi="Times New Roman"/>
          <w:b/>
          <w:sz w:val="30"/>
          <w:szCs w:val="30"/>
        </w:rPr>
        <w:t xml:space="preserve"> внесении изменений в решени</w:t>
      </w:r>
      <w:r w:rsidR="00D819C5">
        <w:rPr>
          <w:rFonts w:ascii="Times New Roman" w:hAnsi="Times New Roman"/>
          <w:b/>
          <w:sz w:val="30"/>
          <w:szCs w:val="30"/>
        </w:rPr>
        <w:t>я</w:t>
      </w:r>
      <w:r w:rsidR="00BD1139" w:rsidRPr="00BD1139">
        <w:rPr>
          <w:rFonts w:ascii="Times New Roman" w:hAnsi="Times New Roman"/>
          <w:b/>
          <w:sz w:val="30"/>
          <w:szCs w:val="30"/>
        </w:rPr>
        <w:t xml:space="preserve"> </w:t>
      </w:r>
      <w:r w:rsidR="00BD1139" w:rsidRPr="001944BC">
        <w:rPr>
          <w:rFonts w:ascii="Times New Roman" w:hAnsi="Times New Roman"/>
          <w:b/>
          <w:sz w:val="30"/>
          <w:szCs w:val="30"/>
        </w:rPr>
        <w:t>Совета Евразийской</w:t>
      </w:r>
      <w:r w:rsidR="001944BC">
        <w:rPr>
          <w:rFonts w:ascii="Times New Roman" w:hAnsi="Times New Roman"/>
          <w:b/>
          <w:sz w:val="30"/>
          <w:szCs w:val="30"/>
        </w:rPr>
        <w:t xml:space="preserve"> </w:t>
      </w:r>
      <w:r w:rsidR="00BD1139" w:rsidRPr="00BD1139">
        <w:rPr>
          <w:rFonts w:ascii="Times New Roman" w:hAnsi="Times New Roman"/>
          <w:b/>
          <w:sz w:val="30"/>
          <w:szCs w:val="30"/>
        </w:rPr>
        <w:t>экономической комиссии от 23 ноября 2015 г. № 70</w:t>
      </w:r>
      <w:r w:rsidR="00E42955">
        <w:rPr>
          <w:rFonts w:ascii="Times New Roman" w:hAnsi="Times New Roman"/>
          <w:b/>
          <w:sz w:val="30"/>
          <w:szCs w:val="30"/>
        </w:rPr>
        <w:t xml:space="preserve"> </w:t>
      </w:r>
      <w:r w:rsidR="00D819C5">
        <w:rPr>
          <w:rFonts w:ascii="Times New Roman" w:hAnsi="Times New Roman"/>
          <w:b/>
          <w:sz w:val="30"/>
          <w:szCs w:val="30"/>
        </w:rPr>
        <w:br/>
      </w:r>
      <w:r w:rsidR="00E42955">
        <w:rPr>
          <w:rFonts w:ascii="Times New Roman" w:hAnsi="Times New Roman"/>
          <w:b/>
          <w:sz w:val="30"/>
          <w:szCs w:val="30"/>
        </w:rPr>
        <w:t xml:space="preserve">и от </w:t>
      </w:r>
      <w:r w:rsidR="00D819C5">
        <w:rPr>
          <w:rFonts w:ascii="Times New Roman" w:hAnsi="Times New Roman"/>
          <w:b/>
          <w:sz w:val="30"/>
          <w:szCs w:val="30"/>
        </w:rPr>
        <w:t>2 декабря 2015 г. № 86</w:t>
      </w:r>
    </w:p>
    <w:p w:rsidR="00337E36" w:rsidRPr="00BD1139" w:rsidRDefault="00337E36" w:rsidP="009A5E8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37E36" w:rsidRPr="00696DA0" w:rsidRDefault="00AB772C" w:rsidP="00D819C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D1139">
        <w:rPr>
          <w:rFonts w:ascii="Times New Roman" w:hAnsi="Times New Roman"/>
          <w:color w:val="000000"/>
          <w:sz w:val="30"/>
          <w:szCs w:val="30"/>
        </w:rPr>
        <w:t>В</w:t>
      </w:r>
      <w:r w:rsidR="005946BB" w:rsidRPr="00BD1139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E42955">
        <w:rPr>
          <w:rFonts w:ascii="Times New Roman" w:hAnsi="Times New Roman"/>
          <w:color w:val="000000"/>
          <w:sz w:val="30"/>
          <w:szCs w:val="30"/>
        </w:rPr>
        <w:t xml:space="preserve">целях приведения </w:t>
      </w:r>
      <w:r w:rsidR="00D819C5">
        <w:rPr>
          <w:rFonts w:ascii="Times New Roman" w:hAnsi="Times New Roman"/>
          <w:color w:val="000000"/>
          <w:sz w:val="30"/>
          <w:szCs w:val="30"/>
        </w:rPr>
        <w:t xml:space="preserve">решений Совета </w:t>
      </w:r>
      <w:r w:rsidR="00D819C5" w:rsidRPr="00696DA0">
        <w:rPr>
          <w:rFonts w:ascii="Times New Roman" w:hAnsi="Times New Roman"/>
          <w:color w:val="000000"/>
          <w:sz w:val="30"/>
          <w:szCs w:val="30"/>
        </w:rPr>
        <w:t>Евразийской экономической комиссии</w:t>
      </w:r>
      <w:r w:rsidR="00D819C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D819C5" w:rsidRPr="00D819C5">
        <w:rPr>
          <w:rFonts w:ascii="Times New Roman" w:hAnsi="Times New Roman"/>
          <w:color w:val="000000"/>
          <w:sz w:val="30"/>
          <w:szCs w:val="30"/>
        </w:rPr>
        <w:t>от 23 ноября 2015 г. № 70 и от 2 декабря 2015 г. № 86</w:t>
      </w:r>
      <w:r w:rsidR="00E4295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D819C5">
        <w:rPr>
          <w:rFonts w:ascii="Times New Roman" w:hAnsi="Times New Roman"/>
          <w:color w:val="000000"/>
          <w:sz w:val="30"/>
          <w:szCs w:val="30"/>
        </w:rPr>
        <w:br/>
      </w:r>
      <w:r w:rsidR="00E42955">
        <w:rPr>
          <w:rFonts w:ascii="Times New Roman" w:hAnsi="Times New Roman"/>
          <w:color w:val="000000"/>
          <w:sz w:val="30"/>
          <w:szCs w:val="30"/>
        </w:rPr>
        <w:t>в соответствие</w:t>
      </w:r>
      <w:r w:rsidR="003D5213" w:rsidRPr="00BD1139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5946BB" w:rsidRPr="00BD1139">
        <w:rPr>
          <w:rFonts w:ascii="Times New Roman" w:hAnsi="Times New Roman"/>
          <w:color w:val="000000"/>
          <w:sz w:val="30"/>
          <w:szCs w:val="30"/>
        </w:rPr>
        <w:t>Соглашени</w:t>
      </w:r>
      <w:r w:rsidR="00E42955">
        <w:rPr>
          <w:rFonts w:ascii="Times New Roman" w:hAnsi="Times New Roman"/>
          <w:color w:val="000000"/>
          <w:sz w:val="30"/>
          <w:szCs w:val="30"/>
        </w:rPr>
        <w:t>ю</w:t>
      </w:r>
      <w:r w:rsidR="005946BB" w:rsidRPr="00BD1139">
        <w:rPr>
          <w:rFonts w:ascii="Times New Roman" w:hAnsi="Times New Roman"/>
          <w:color w:val="000000"/>
          <w:sz w:val="30"/>
          <w:szCs w:val="30"/>
        </w:rPr>
        <w:t xml:space="preserve"> о </w:t>
      </w:r>
      <w:r w:rsidR="003D5213" w:rsidRPr="00BD1139">
        <w:rPr>
          <w:rFonts w:ascii="Times New Roman" w:hAnsi="Times New Roman"/>
          <w:color w:val="000000"/>
          <w:sz w:val="30"/>
          <w:szCs w:val="30"/>
        </w:rPr>
        <w:t xml:space="preserve">маркировке товаров </w:t>
      </w:r>
      <w:r w:rsidR="003D5213" w:rsidRPr="00696DA0">
        <w:rPr>
          <w:rFonts w:ascii="Times New Roman" w:hAnsi="Times New Roman"/>
          <w:color w:val="000000"/>
          <w:sz w:val="30"/>
          <w:szCs w:val="30"/>
        </w:rPr>
        <w:t>средствами идентификации в Евразийском экономическом союзе</w:t>
      </w:r>
      <w:r w:rsidRPr="00696DA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02FF1">
        <w:rPr>
          <w:rFonts w:ascii="Times New Roman" w:hAnsi="Times New Roman"/>
          <w:color w:val="000000"/>
          <w:sz w:val="30"/>
          <w:szCs w:val="30"/>
        </w:rPr>
        <w:br/>
        <w:t xml:space="preserve">от 2 февраля </w:t>
      </w:r>
      <w:r w:rsidR="009000D3">
        <w:rPr>
          <w:rFonts w:ascii="Times New Roman" w:hAnsi="Times New Roman"/>
          <w:color w:val="000000"/>
          <w:sz w:val="30"/>
          <w:szCs w:val="30"/>
        </w:rPr>
        <w:t xml:space="preserve">2018 года </w:t>
      </w:r>
      <w:r w:rsidR="003D5213" w:rsidRPr="00696DA0">
        <w:rPr>
          <w:rFonts w:ascii="Times New Roman" w:hAnsi="Times New Roman"/>
          <w:color w:val="000000"/>
          <w:sz w:val="30"/>
          <w:szCs w:val="30"/>
        </w:rPr>
        <w:t xml:space="preserve">(далее – Соглашение) </w:t>
      </w:r>
      <w:r w:rsidRPr="00696DA0">
        <w:rPr>
          <w:rFonts w:ascii="Times New Roman" w:hAnsi="Times New Roman"/>
          <w:color w:val="000000"/>
          <w:sz w:val="30"/>
          <w:szCs w:val="30"/>
        </w:rPr>
        <w:t>Совет Евразийской экономической комиссии</w:t>
      </w:r>
      <w:r w:rsidR="005946BB" w:rsidRPr="00696DA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337E36" w:rsidRPr="00696DA0">
        <w:rPr>
          <w:rFonts w:ascii="Times New Roman" w:eastAsia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="00337E36" w:rsidRPr="00696DA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л</w:t>
      </w:r>
      <w:r w:rsidR="00337E36" w:rsidRPr="00696DA0">
        <w:rPr>
          <w:rFonts w:ascii="Times New Roman" w:hAnsi="Times New Roman"/>
          <w:b/>
          <w:color w:val="000000"/>
          <w:sz w:val="30"/>
          <w:szCs w:val="30"/>
        </w:rPr>
        <w:t>:</w:t>
      </w:r>
    </w:p>
    <w:p w:rsidR="00253663" w:rsidRPr="007A5B5D" w:rsidRDefault="00120211" w:rsidP="0087336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highlight w:val="green"/>
        </w:rPr>
      </w:pPr>
      <w:r w:rsidRPr="00696DA0">
        <w:rPr>
          <w:rFonts w:ascii="Times New Roman" w:hAnsi="Times New Roman"/>
          <w:color w:val="000000"/>
          <w:sz w:val="30"/>
          <w:szCs w:val="30"/>
        </w:rPr>
        <w:t>1.</w:t>
      </w:r>
      <w:r w:rsidR="00D819C5">
        <w:rPr>
          <w:rFonts w:ascii="Times New Roman" w:hAnsi="Times New Roman"/>
          <w:color w:val="000000"/>
          <w:sz w:val="30"/>
          <w:szCs w:val="30"/>
        </w:rPr>
        <w:t> Внести в решени</w:t>
      </w:r>
      <w:r w:rsidR="00873362">
        <w:rPr>
          <w:rFonts w:ascii="Times New Roman" w:hAnsi="Times New Roman"/>
          <w:color w:val="000000"/>
          <w:sz w:val="30"/>
          <w:szCs w:val="30"/>
        </w:rPr>
        <w:t>я</w:t>
      </w:r>
      <w:r w:rsidR="00D819C5">
        <w:rPr>
          <w:rFonts w:ascii="Times New Roman" w:hAnsi="Times New Roman"/>
          <w:color w:val="000000"/>
          <w:sz w:val="30"/>
          <w:szCs w:val="30"/>
        </w:rPr>
        <w:t xml:space="preserve"> Совета </w:t>
      </w:r>
      <w:r w:rsidR="00D819C5" w:rsidRPr="00696DA0">
        <w:rPr>
          <w:rFonts w:ascii="Times New Roman" w:hAnsi="Times New Roman"/>
          <w:color w:val="000000"/>
          <w:sz w:val="30"/>
          <w:szCs w:val="30"/>
        </w:rPr>
        <w:t>Евразийской экономической комиссии</w:t>
      </w:r>
      <w:r w:rsidR="00D819C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D819C5" w:rsidRPr="00D819C5">
        <w:rPr>
          <w:rFonts w:ascii="Times New Roman" w:hAnsi="Times New Roman"/>
          <w:color w:val="000000"/>
          <w:sz w:val="30"/>
          <w:szCs w:val="30"/>
        </w:rPr>
        <w:t>от 23 ноября 2015 г. № 70</w:t>
      </w:r>
      <w:r w:rsidR="00D819C5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D819C5" w:rsidRPr="00D819C5">
        <w:rPr>
          <w:rFonts w:ascii="Times New Roman" w:hAnsi="Times New Roman"/>
          <w:color w:val="000000"/>
          <w:sz w:val="30"/>
          <w:szCs w:val="30"/>
        </w:rPr>
        <w:t>Об утверждении отдельных документов, предусмотренных Соглашением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от 8 сентября 2015 года</w:t>
      </w:r>
      <w:r w:rsidR="00D819C5">
        <w:rPr>
          <w:rFonts w:ascii="Times New Roman" w:hAnsi="Times New Roman"/>
          <w:color w:val="000000"/>
          <w:sz w:val="30"/>
          <w:szCs w:val="30"/>
        </w:rPr>
        <w:t>»</w:t>
      </w:r>
      <w:r w:rsidR="00CB4FEA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873362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="00D819C5" w:rsidRPr="00D819C5">
        <w:rPr>
          <w:rFonts w:ascii="Times New Roman" w:hAnsi="Times New Roman"/>
          <w:color w:val="000000"/>
          <w:sz w:val="30"/>
          <w:szCs w:val="30"/>
        </w:rPr>
        <w:t>от 2 декабря 2015 г. № 86</w:t>
      </w:r>
      <w:r w:rsidR="00D819C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873362">
        <w:rPr>
          <w:rFonts w:ascii="Times New Roman" w:hAnsi="Times New Roman"/>
          <w:color w:val="000000"/>
          <w:sz w:val="30"/>
          <w:szCs w:val="30"/>
        </w:rPr>
        <w:br/>
      </w:r>
      <w:r w:rsidR="00D819C5">
        <w:rPr>
          <w:rFonts w:ascii="Times New Roman" w:hAnsi="Times New Roman"/>
          <w:color w:val="000000"/>
          <w:sz w:val="30"/>
          <w:szCs w:val="30"/>
        </w:rPr>
        <w:t>«</w:t>
      </w:r>
      <w:r w:rsidR="00D819C5" w:rsidRPr="00D819C5">
        <w:rPr>
          <w:rFonts w:ascii="Times New Roman" w:hAnsi="Times New Roman"/>
          <w:color w:val="000000"/>
          <w:sz w:val="30"/>
          <w:szCs w:val="30"/>
        </w:rPr>
        <w:t xml:space="preserve">Об утверждении отдельных документов, предусмотренных Соглашением о реализации в 2015 – 2016 годах пилотного проекта </w:t>
      </w:r>
      <w:r w:rsidR="00873362">
        <w:rPr>
          <w:rFonts w:ascii="Times New Roman" w:hAnsi="Times New Roman"/>
          <w:color w:val="000000"/>
          <w:sz w:val="30"/>
          <w:szCs w:val="30"/>
        </w:rPr>
        <w:br/>
      </w:r>
      <w:r w:rsidR="00D819C5" w:rsidRPr="00D819C5">
        <w:rPr>
          <w:rFonts w:ascii="Times New Roman" w:hAnsi="Times New Roman"/>
          <w:color w:val="000000"/>
          <w:sz w:val="30"/>
          <w:szCs w:val="30"/>
        </w:rPr>
        <w:t xml:space="preserve">по введению маркировки товаров контрольными (идентификационными) знаками по товарной позиции «Предметы одежды, принадлежности </w:t>
      </w:r>
      <w:r w:rsidR="00D819C5" w:rsidRPr="00D819C5">
        <w:rPr>
          <w:rFonts w:ascii="Times New Roman" w:hAnsi="Times New Roman"/>
          <w:color w:val="000000"/>
          <w:sz w:val="30"/>
          <w:szCs w:val="30"/>
        </w:rPr>
        <w:lastRenderedPageBreak/>
        <w:t>к</w:t>
      </w:r>
      <w:r w:rsidR="001944BC">
        <w:rPr>
          <w:rFonts w:ascii="Times New Roman" w:hAnsi="Times New Roman"/>
          <w:color w:val="000000"/>
          <w:sz w:val="30"/>
          <w:szCs w:val="30"/>
        </w:rPr>
        <w:t> </w:t>
      </w:r>
      <w:r w:rsidR="00D819C5" w:rsidRPr="00D819C5">
        <w:rPr>
          <w:rFonts w:ascii="Times New Roman" w:hAnsi="Times New Roman"/>
          <w:color w:val="000000"/>
          <w:sz w:val="30"/>
          <w:szCs w:val="30"/>
        </w:rPr>
        <w:t>одежде и прочие изделия, из натура</w:t>
      </w:r>
      <w:r w:rsidR="001944BC">
        <w:rPr>
          <w:rFonts w:ascii="Times New Roman" w:hAnsi="Times New Roman"/>
          <w:color w:val="000000"/>
          <w:sz w:val="30"/>
          <w:szCs w:val="30"/>
        </w:rPr>
        <w:t>льного меха» от 8 сентября 2015 </w:t>
      </w:r>
      <w:r w:rsidR="00D819C5" w:rsidRPr="00D819C5">
        <w:rPr>
          <w:rFonts w:ascii="Times New Roman" w:hAnsi="Times New Roman"/>
          <w:color w:val="000000"/>
          <w:sz w:val="30"/>
          <w:szCs w:val="30"/>
        </w:rPr>
        <w:t>год</w:t>
      </w:r>
      <w:bookmarkStart w:id="0" w:name="_GoBack"/>
      <w:bookmarkEnd w:id="0"/>
      <w:r w:rsidR="00D819C5" w:rsidRPr="00D819C5">
        <w:rPr>
          <w:rFonts w:ascii="Times New Roman" w:hAnsi="Times New Roman"/>
          <w:color w:val="000000"/>
          <w:sz w:val="30"/>
          <w:szCs w:val="30"/>
        </w:rPr>
        <w:t>а</w:t>
      </w:r>
      <w:r w:rsidR="00D819C5">
        <w:rPr>
          <w:rFonts w:ascii="Times New Roman" w:hAnsi="Times New Roman"/>
          <w:color w:val="000000"/>
          <w:sz w:val="30"/>
          <w:szCs w:val="30"/>
        </w:rPr>
        <w:t>»</w:t>
      </w:r>
      <w:r w:rsidR="00873362">
        <w:rPr>
          <w:rFonts w:ascii="Times New Roman" w:hAnsi="Times New Roman"/>
          <w:color w:val="000000"/>
          <w:sz w:val="30"/>
          <w:szCs w:val="30"/>
        </w:rPr>
        <w:t xml:space="preserve"> изменения согласно приложению</w:t>
      </w:r>
      <w:r w:rsidR="00042BF5" w:rsidRPr="00042BF5">
        <w:rPr>
          <w:rFonts w:ascii="Times New Roman" w:hAnsi="Times New Roman"/>
          <w:color w:val="000000"/>
          <w:sz w:val="30"/>
          <w:szCs w:val="30"/>
        </w:rPr>
        <w:t>.</w:t>
      </w:r>
    </w:p>
    <w:p w:rsidR="00AC1E82" w:rsidRPr="00BD1139" w:rsidRDefault="0087336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2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t>.</w:t>
      </w:r>
      <w:r w:rsidR="00D819C5">
        <w:rPr>
          <w:rFonts w:ascii="Times New Roman" w:hAnsi="Times New Roman"/>
          <w:color w:val="000000"/>
          <w:sz w:val="30"/>
          <w:szCs w:val="30"/>
        </w:rPr>
        <w:t> 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t xml:space="preserve">Настоящее </w:t>
      </w:r>
      <w:r w:rsidR="007A6C01" w:rsidRPr="00BD1139">
        <w:rPr>
          <w:rFonts w:ascii="Times New Roman" w:hAnsi="Times New Roman"/>
          <w:sz w:val="30"/>
          <w:szCs w:val="30"/>
        </w:rPr>
        <w:t>Решение</w:t>
      </w:r>
      <w:r w:rsidR="00337E36" w:rsidRPr="00BD1139">
        <w:rPr>
          <w:rFonts w:ascii="Times New Roman" w:hAnsi="Times New Roman"/>
          <w:sz w:val="30"/>
          <w:szCs w:val="30"/>
        </w:rPr>
        <w:t xml:space="preserve"> 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t xml:space="preserve">вступает в силу по истечении 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br/>
      </w:r>
      <w:r w:rsidR="00120211" w:rsidRPr="00BD1139">
        <w:rPr>
          <w:rFonts w:ascii="Times New Roman" w:hAnsi="Times New Roman"/>
          <w:color w:val="000000"/>
          <w:sz w:val="30"/>
          <w:szCs w:val="30"/>
        </w:rPr>
        <w:t>1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t>0 календарных дней с даты его официального опубликования</w:t>
      </w:r>
      <w:r w:rsidR="00755789" w:rsidRPr="00BD1139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BD1139" w:rsidRPr="00BD1139">
        <w:rPr>
          <w:rFonts w:ascii="Times New Roman" w:hAnsi="Times New Roman"/>
          <w:color w:val="000000"/>
          <w:sz w:val="30"/>
          <w:szCs w:val="30"/>
        </w:rPr>
        <w:br/>
      </w:r>
      <w:r w:rsidR="00755789" w:rsidRPr="00BD1139">
        <w:rPr>
          <w:rFonts w:ascii="Times New Roman" w:hAnsi="Times New Roman"/>
          <w:color w:val="000000"/>
          <w:sz w:val="30"/>
          <w:szCs w:val="30"/>
        </w:rPr>
        <w:t>но не ранее даты вступления в силу Соглашения</w:t>
      </w:r>
      <w:r w:rsidR="000E6923" w:rsidRPr="00BD1139">
        <w:rPr>
          <w:rFonts w:ascii="Times New Roman" w:hAnsi="Times New Roman"/>
          <w:color w:val="000000"/>
          <w:sz w:val="30"/>
          <w:szCs w:val="30"/>
        </w:rPr>
        <w:t>.</w:t>
      </w:r>
    </w:p>
    <w:p w:rsidR="008007E5" w:rsidRPr="00BD1139" w:rsidRDefault="008007E5" w:rsidP="009A5E8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A5E8E" w:rsidRPr="00BD1139" w:rsidRDefault="009A5E8E" w:rsidP="009A5E8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852B3C" w:rsidRPr="00BD1139" w:rsidRDefault="00852B3C" w:rsidP="00852B3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1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852B3C" w:rsidRPr="00BD1139" w:rsidRDefault="00852B3C" w:rsidP="00852B3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301" w:type="dxa"/>
        <w:jc w:val="center"/>
        <w:tblLayout w:type="fixed"/>
        <w:tblLook w:val="01E0" w:firstRow="1" w:lastRow="1" w:firstColumn="1" w:lastColumn="1" w:noHBand="0" w:noVBand="0"/>
      </w:tblPr>
      <w:tblGrid>
        <w:gridCol w:w="2124"/>
        <w:gridCol w:w="2164"/>
        <w:gridCol w:w="1977"/>
        <w:gridCol w:w="2059"/>
        <w:gridCol w:w="1977"/>
      </w:tblGrid>
      <w:tr w:rsidR="005946BB" w:rsidRPr="00BD1139" w:rsidTr="005946B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946BB" w:rsidRPr="00BD1139" w:rsidRDefault="005946BB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946BB" w:rsidRPr="00BD1139" w:rsidRDefault="005946BB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3" w:type="dxa"/>
            <w:vAlign w:val="center"/>
            <w:hideMark/>
          </w:tcPr>
          <w:p w:rsidR="005946BB" w:rsidRPr="00BD1139" w:rsidRDefault="005946BB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4" w:type="dxa"/>
            <w:vAlign w:val="center"/>
            <w:hideMark/>
          </w:tcPr>
          <w:p w:rsidR="005946BB" w:rsidRPr="00BD1139" w:rsidRDefault="005946BB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3" w:type="dxa"/>
            <w:vAlign w:val="center"/>
            <w:hideMark/>
          </w:tcPr>
          <w:p w:rsidR="005946BB" w:rsidRPr="00BD1139" w:rsidRDefault="005946BB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5946BB" w:rsidTr="005946B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5946BB" w:rsidRPr="00BD1139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Pr="00BD1139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Pr="00BD1139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Pr="00BD1139" w:rsidRDefault="005946BB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5946BB" w:rsidRPr="00BD1139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Pr="00BD1139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Pr="00BD1139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Pr="00BD1139" w:rsidRDefault="005946BB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В. </w:t>
            </w:r>
            <w:proofErr w:type="spellStart"/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Матюшевский</w:t>
            </w:r>
            <w:proofErr w:type="spellEnd"/>
          </w:p>
        </w:tc>
        <w:tc>
          <w:tcPr>
            <w:tcW w:w="1943" w:type="dxa"/>
            <w:vAlign w:val="center"/>
          </w:tcPr>
          <w:p w:rsidR="005946BB" w:rsidRPr="00BD1139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Pr="00BD1139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Pr="00BD1139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Pr="000B3D26" w:rsidRDefault="000B3D26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0B3D2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А.</w:t>
            </w:r>
            <w:r w:rsidR="003553F9">
              <w:rPr>
                <w:rFonts w:eastAsia="Calibri" w:cs="Times New Roman" w:hint="eastAsia"/>
                <w:b/>
                <w:spacing w:val="-10"/>
                <w:sz w:val="28"/>
                <w:szCs w:val="28"/>
                <w:lang w:eastAsia="ru-RU"/>
              </w:rPr>
              <w:t> </w:t>
            </w:r>
            <w:r w:rsidRPr="000B3D2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Мамин</w:t>
            </w:r>
          </w:p>
        </w:tc>
        <w:tc>
          <w:tcPr>
            <w:tcW w:w="2024" w:type="dxa"/>
            <w:vAlign w:val="bottom"/>
            <w:hideMark/>
          </w:tcPr>
          <w:p w:rsidR="005946BB" w:rsidRPr="000B3D26" w:rsidRDefault="005C022D" w:rsidP="000B3D26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5C022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0B3D26" w:rsidRPr="000B3D2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Муканбетов</w:t>
            </w:r>
            <w:proofErr w:type="spellEnd"/>
          </w:p>
        </w:tc>
        <w:tc>
          <w:tcPr>
            <w:tcW w:w="1943" w:type="dxa"/>
            <w:vAlign w:val="bottom"/>
            <w:hideMark/>
          </w:tcPr>
          <w:p w:rsidR="005946BB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BD1139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И. Шувалов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90A8F" w:rsidRPr="00337E36" w:rsidRDefault="00190A8F" w:rsidP="00192568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190A8F" w:rsidRPr="00337E36" w:rsidSect="007363FD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D5F" w:rsidRDefault="00371D5F" w:rsidP="001C3D03">
      <w:pPr>
        <w:spacing w:after="0" w:line="240" w:lineRule="auto"/>
      </w:pPr>
      <w:r>
        <w:separator/>
      </w:r>
    </w:p>
  </w:endnote>
  <w:endnote w:type="continuationSeparator" w:id="0">
    <w:p w:rsidR="00371D5F" w:rsidRDefault="00371D5F" w:rsidP="001C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D5F" w:rsidRDefault="00371D5F" w:rsidP="001C3D03">
      <w:pPr>
        <w:spacing w:after="0" w:line="240" w:lineRule="auto"/>
      </w:pPr>
      <w:r>
        <w:separator/>
      </w:r>
    </w:p>
  </w:footnote>
  <w:footnote w:type="continuationSeparator" w:id="0">
    <w:p w:rsidR="00371D5F" w:rsidRDefault="00371D5F" w:rsidP="001C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75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C3D03" w:rsidRPr="001C3D03" w:rsidRDefault="001C3D03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3D0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3D0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3D0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944B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3D0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C3D03" w:rsidRDefault="001C3D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950EE"/>
    <w:multiLevelType w:val="hybridMultilevel"/>
    <w:tmpl w:val="3AEE1932"/>
    <w:lvl w:ilvl="0" w:tplc="2CBEE9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227BD"/>
    <w:rsid w:val="00035D1C"/>
    <w:rsid w:val="00042BF5"/>
    <w:rsid w:val="000707CD"/>
    <w:rsid w:val="00084807"/>
    <w:rsid w:val="00084AA3"/>
    <w:rsid w:val="00084D09"/>
    <w:rsid w:val="000850CF"/>
    <w:rsid w:val="00090DBD"/>
    <w:rsid w:val="000A133F"/>
    <w:rsid w:val="000A60FA"/>
    <w:rsid w:val="000B1B28"/>
    <w:rsid w:val="000B3D26"/>
    <w:rsid w:val="000E44C6"/>
    <w:rsid w:val="000E6923"/>
    <w:rsid w:val="00102FF1"/>
    <w:rsid w:val="00120211"/>
    <w:rsid w:val="00140784"/>
    <w:rsid w:val="00190A8F"/>
    <w:rsid w:val="00192568"/>
    <w:rsid w:val="001944BC"/>
    <w:rsid w:val="001A0333"/>
    <w:rsid w:val="001B1A55"/>
    <w:rsid w:val="001C3D03"/>
    <w:rsid w:val="00246B79"/>
    <w:rsid w:val="00253663"/>
    <w:rsid w:val="00275D30"/>
    <w:rsid w:val="002B37B8"/>
    <w:rsid w:val="002E4D66"/>
    <w:rsid w:val="003070DE"/>
    <w:rsid w:val="003312CF"/>
    <w:rsid w:val="00337E36"/>
    <w:rsid w:val="003553F9"/>
    <w:rsid w:val="00371D5F"/>
    <w:rsid w:val="00376E11"/>
    <w:rsid w:val="003871C6"/>
    <w:rsid w:val="003A7BCA"/>
    <w:rsid w:val="003C0FE5"/>
    <w:rsid w:val="003D0ECD"/>
    <w:rsid w:val="003D5213"/>
    <w:rsid w:val="00414E88"/>
    <w:rsid w:val="00433529"/>
    <w:rsid w:val="00441868"/>
    <w:rsid w:val="004426BA"/>
    <w:rsid w:val="0044620C"/>
    <w:rsid w:val="00461757"/>
    <w:rsid w:val="00470F9A"/>
    <w:rsid w:val="0047374B"/>
    <w:rsid w:val="004C56D1"/>
    <w:rsid w:val="004E46AB"/>
    <w:rsid w:val="004F0A37"/>
    <w:rsid w:val="004F2913"/>
    <w:rsid w:val="004F3203"/>
    <w:rsid w:val="005249DC"/>
    <w:rsid w:val="00561D2D"/>
    <w:rsid w:val="005940FF"/>
    <w:rsid w:val="005946BB"/>
    <w:rsid w:val="005C022D"/>
    <w:rsid w:val="00606E8C"/>
    <w:rsid w:val="00611B36"/>
    <w:rsid w:val="00614083"/>
    <w:rsid w:val="006142E1"/>
    <w:rsid w:val="006535A4"/>
    <w:rsid w:val="00696DA0"/>
    <w:rsid w:val="006A13C5"/>
    <w:rsid w:val="006C07BC"/>
    <w:rsid w:val="006F4F7A"/>
    <w:rsid w:val="007219E0"/>
    <w:rsid w:val="00724202"/>
    <w:rsid w:val="007362FB"/>
    <w:rsid w:val="007363FD"/>
    <w:rsid w:val="00755789"/>
    <w:rsid w:val="007A5B5D"/>
    <w:rsid w:val="007A6C01"/>
    <w:rsid w:val="007B636F"/>
    <w:rsid w:val="007F0D1F"/>
    <w:rsid w:val="008007E5"/>
    <w:rsid w:val="00852B3C"/>
    <w:rsid w:val="00856508"/>
    <w:rsid w:val="00873362"/>
    <w:rsid w:val="00882EF8"/>
    <w:rsid w:val="00897A86"/>
    <w:rsid w:val="008A0681"/>
    <w:rsid w:val="008B26C6"/>
    <w:rsid w:val="008C0D39"/>
    <w:rsid w:val="008E1597"/>
    <w:rsid w:val="009000D3"/>
    <w:rsid w:val="00935A15"/>
    <w:rsid w:val="0094237F"/>
    <w:rsid w:val="0095053B"/>
    <w:rsid w:val="0095176E"/>
    <w:rsid w:val="009540CC"/>
    <w:rsid w:val="00971B9A"/>
    <w:rsid w:val="00985181"/>
    <w:rsid w:val="00987BCD"/>
    <w:rsid w:val="009A5E8E"/>
    <w:rsid w:val="00A511DA"/>
    <w:rsid w:val="00AB772C"/>
    <w:rsid w:val="00AC150F"/>
    <w:rsid w:val="00AC1E82"/>
    <w:rsid w:val="00AE614A"/>
    <w:rsid w:val="00B6566D"/>
    <w:rsid w:val="00B734DD"/>
    <w:rsid w:val="00B81538"/>
    <w:rsid w:val="00BD1139"/>
    <w:rsid w:val="00C277A6"/>
    <w:rsid w:val="00C53C99"/>
    <w:rsid w:val="00C67E60"/>
    <w:rsid w:val="00CA02A3"/>
    <w:rsid w:val="00CB4FEA"/>
    <w:rsid w:val="00CC3118"/>
    <w:rsid w:val="00CF221B"/>
    <w:rsid w:val="00D256C6"/>
    <w:rsid w:val="00D27C5F"/>
    <w:rsid w:val="00D36F45"/>
    <w:rsid w:val="00D37DBB"/>
    <w:rsid w:val="00D54D62"/>
    <w:rsid w:val="00D57A73"/>
    <w:rsid w:val="00D819C5"/>
    <w:rsid w:val="00DA2C20"/>
    <w:rsid w:val="00DC660F"/>
    <w:rsid w:val="00DF6AD4"/>
    <w:rsid w:val="00E10EB2"/>
    <w:rsid w:val="00E17E48"/>
    <w:rsid w:val="00E42955"/>
    <w:rsid w:val="00E52ABA"/>
    <w:rsid w:val="00E5344D"/>
    <w:rsid w:val="00F24601"/>
    <w:rsid w:val="00F25258"/>
    <w:rsid w:val="00F254E6"/>
    <w:rsid w:val="00F464B9"/>
    <w:rsid w:val="00F54793"/>
    <w:rsid w:val="00F85F5C"/>
    <w:rsid w:val="00F876E0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1702C6-780D-48EE-BBDB-F7506408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1C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D03"/>
  </w:style>
  <w:style w:type="paragraph" w:styleId="a8">
    <w:name w:val="footer"/>
    <w:basedOn w:val="a"/>
    <w:link w:val="a9"/>
    <w:uiPriority w:val="99"/>
    <w:unhideWhenUsed/>
    <w:rsid w:val="001C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D03"/>
  </w:style>
  <w:style w:type="paragraph" w:styleId="aa">
    <w:name w:val="List Paragraph"/>
    <w:basedOn w:val="a"/>
    <w:uiPriority w:val="34"/>
    <w:qFormat/>
    <w:rsid w:val="0014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Малахова Виктория Сергеевна</cp:lastModifiedBy>
  <cp:revision>4</cp:revision>
  <cp:lastPrinted>2018-04-11T13:28:00Z</cp:lastPrinted>
  <dcterms:created xsi:type="dcterms:W3CDTF">2018-04-11T13:30:00Z</dcterms:created>
  <dcterms:modified xsi:type="dcterms:W3CDTF">2018-04-11T13:43:00Z</dcterms:modified>
</cp:coreProperties>
</file>