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0AD" w:rsidRPr="001C43A8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43A8">
        <w:rPr>
          <w:rFonts w:ascii="Times New Roman" w:hAnsi="Times New Roman" w:cs="Times New Roman"/>
          <w:b/>
          <w:bCs/>
          <w:sz w:val="30"/>
          <w:szCs w:val="30"/>
        </w:rPr>
        <w:t>ИНФОРМАЦИОННО-АНАЛИТИЧЕСКАЯ СПРАВКА</w:t>
      </w:r>
    </w:p>
    <w:p w:rsidR="00E660AD" w:rsidRPr="00ED7C31" w:rsidRDefault="00E660AD" w:rsidP="00B756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о последствиях влияния проекта решения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Евразийской экономической комиссии на условия ведения предпринимательской деятельности</w:t>
      </w:r>
    </w:p>
    <w:p w:rsidR="00E660AD" w:rsidRPr="00ED7C31" w:rsidRDefault="00E660AD" w:rsidP="00212BAC">
      <w:pPr>
        <w:spacing w:after="0" w:line="288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D22B4B" w:rsidRPr="00ED7C31" w:rsidRDefault="00E660AD" w:rsidP="00637F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Наименование проекта решения</w:t>
      </w:r>
      <w:r w:rsidR="008C1681"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 xml:space="preserve"> </w:t>
      </w:r>
      <w:r w:rsidR="00D22B4B" w:rsidRPr="00ED7C31">
        <w:rPr>
          <w:rFonts w:ascii="Times New Roman" w:hAnsi="Times New Roman" w:cs="Times New Roman"/>
          <w:b/>
          <w:bCs/>
          <w:spacing w:val="-4"/>
          <w:kern w:val="28"/>
          <w:sz w:val="30"/>
          <w:szCs w:val="30"/>
        </w:rPr>
        <w:t>ЕЭК.</w:t>
      </w:r>
    </w:p>
    <w:p w:rsidR="00644BF1" w:rsidRPr="00ED7C31" w:rsidRDefault="002E5CCA" w:rsidP="002E5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  <w:r w:rsidRPr="00ED7C31"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  <w:t xml:space="preserve">Проект решения Коллегии Евразийской экономической комиссии </w:t>
      </w:r>
      <w:r w:rsidRPr="00ED7C31">
        <w:rPr>
          <w:rFonts w:ascii="Times New Roman" w:hAnsi="Times New Roman" w:cs="Times New Roman"/>
          <w:bCs/>
          <w:spacing w:val="-4"/>
          <w:kern w:val="28"/>
          <w:sz w:val="30"/>
          <w:szCs w:val="30"/>
        </w:rPr>
        <w:br/>
        <w:t>«О внесении изменений в Решение Коллегии Евразийской экономической комиссии от 21 апреля 2015 г. № 30» (далее соответственно – проект решения, Комиссия, Решение № 30) подготовлен Департаментом таможенно-тарифного и нетарифного регулирования на основании инициативного предложения Российской Федерации.</w:t>
      </w:r>
    </w:p>
    <w:p w:rsidR="002E5CCA" w:rsidRPr="00ED7C31" w:rsidRDefault="002E5CCA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:rsidR="00E660AD" w:rsidRPr="00ED7C31" w:rsidRDefault="00D56032" w:rsidP="009F7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ED7C31">
        <w:rPr>
          <w:rFonts w:ascii="Times New Roman" w:hAnsi="Times New Roman" w:cs="Times New Roman"/>
          <w:b/>
          <w:spacing w:val="-4"/>
          <w:sz w:val="30"/>
          <w:szCs w:val="30"/>
        </w:rPr>
        <w:t>1.</w:t>
      </w:r>
      <w:r w:rsidRPr="00ED7C31">
        <w:rPr>
          <w:rFonts w:ascii="Times New Roman" w:hAnsi="Times New Roman" w:cs="Times New Roman"/>
          <w:spacing w:val="-4"/>
          <w:sz w:val="30"/>
          <w:szCs w:val="30"/>
        </w:rPr>
        <w:t> </w:t>
      </w:r>
      <w:r w:rsidR="00E660AD" w:rsidRPr="00ED7C31">
        <w:rPr>
          <w:rFonts w:ascii="Times New Roman" w:hAnsi="Times New Roman" w:cs="Times New Roman"/>
          <w:b/>
          <w:bCs/>
          <w:sz w:val="30"/>
          <w:szCs w:val="30"/>
        </w:rPr>
        <w:t>Проблема, на решение которой направлен проект решения</w:t>
      </w:r>
      <w:r w:rsidR="00D22B4B"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 ЕЭК</w:t>
      </w:r>
      <w:r w:rsidR="003E73E0" w:rsidRPr="00ED7C31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:rsidR="00B61718" w:rsidRPr="00ED7C31" w:rsidRDefault="00B61718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В настоящее время ввоз на таможенную территорию Евразийского экономического союза и вывоз с таможенной территории Евразийского экономического союза драгоценных металлов и сырьевых товаров, содержащих драгоценные металлы, включенных в раздел 2.10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 xml:space="preserve">«Драгоценные металлы и сырьевые товары, содержащие драгоценные металлы»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единого перечня товаров, к которым применяются меры нетарифного регулирования в торговле с третьими странами, регулируется соответствующим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П</w:t>
      </w:r>
      <w:r w:rsidRPr="00ED7C31">
        <w:rPr>
          <w:rStyle w:val="CharStyle6"/>
          <w:color w:val="000000"/>
          <w:sz w:val="30"/>
          <w:szCs w:val="30"/>
          <w:lang w:val="ru"/>
        </w:rPr>
        <w:t>оложением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>(приложение № 14 к Решению № 30) (далее соответственно – драгоценные металлы, единый перечень, Союз, Положение).</w:t>
      </w:r>
    </w:p>
    <w:p w:rsidR="001E793B" w:rsidRPr="00ED7C31" w:rsidRDefault="00B61718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С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 xml:space="preserve">огласно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таблице 3 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>раздел</w:t>
      </w:r>
      <w:r w:rsidRPr="00ED7C31">
        <w:rPr>
          <w:rStyle w:val="CharStyle6"/>
          <w:color w:val="000000"/>
          <w:sz w:val="30"/>
          <w:szCs w:val="30"/>
          <w:lang w:val="ru"/>
        </w:rPr>
        <w:t>а</w:t>
      </w:r>
      <w:r w:rsidR="00076AD8" w:rsidRPr="00ED7C31">
        <w:rPr>
          <w:rStyle w:val="CharStyle6"/>
          <w:color w:val="000000"/>
          <w:sz w:val="30"/>
          <w:szCs w:val="30"/>
          <w:lang w:val="ru"/>
        </w:rPr>
        <w:t xml:space="preserve"> 2.10 единого перечня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ко всем товарам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>классифицируемы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м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код</w:t>
      </w:r>
      <w:r w:rsidRPr="00ED7C31">
        <w:rPr>
          <w:rStyle w:val="CharStyle6"/>
          <w:color w:val="000000"/>
          <w:sz w:val="30"/>
          <w:szCs w:val="30"/>
          <w:lang w:val="ru"/>
        </w:rPr>
        <w:t>ом 2843 ТН ВЭД ЕАЭС</w:t>
      </w:r>
      <w:r w:rsidR="00797071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 xml:space="preserve"> применяются меры нетарифного регулирования вне</w:t>
      </w:r>
      <w:r w:rsidR="00090DC1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067B80" w:rsidRPr="00ED7C31">
        <w:rPr>
          <w:rStyle w:val="CharStyle6"/>
          <w:color w:val="000000"/>
          <w:sz w:val="30"/>
          <w:szCs w:val="30"/>
          <w:lang w:val="ru"/>
        </w:rPr>
        <w:t>зависимости от количества содержащихся в них драгоценных металлов.</w:t>
      </w:r>
    </w:p>
    <w:p w:rsidR="008C0593" w:rsidRPr="00ED7C31" w:rsidRDefault="008C0593" w:rsidP="0016105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Кроме того, меры нетарифного регулирования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применяются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к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ручк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ам шариковым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 перьевы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м</w:t>
      </w:r>
      <w:r w:rsidRPr="00ED7C31">
        <w:rPr>
          <w:rStyle w:val="CharStyle6"/>
          <w:color w:val="000000"/>
          <w:sz w:val="30"/>
          <w:szCs w:val="30"/>
          <w:lang w:val="ru"/>
        </w:rPr>
        <w:t>, изготовленны</w:t>
      </w:r>
      <w:r w:rsidR="00774A07" w:rsidRPr="00ED7C31">
        <w:rPr>
          <w:rStyle w:val="CharStyle6"/>
          <w:color w:val="000000"/>
          <w:sz w:val="30"/>
          <w:szCs w:val="30"/>
          <w:lang w:val="ru"/>
        </w:rPr>
        <w:t>м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из драгоценных металлов (коды 9608 10 920 0, 9608 10 990 0, 9608 30 000 0 ТН ВЭД ЕАЭС)</w:t>
      </w:r>
      <w:r w:rsidR="00090DC1" w:rsidRPr="00ED7C31">
        <w:rPr>
          <w:rStyle w:val="CharStyle6"/>
          <w:color w:val="000000"/>
          <w:sz w:val="30"/>
          <w:szCs w:val="30"/>
          <w:lang w:val="ru"/>
        </w:rPr>
        <w:t>,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при этом на </w:t>
      </w:r>
      <w:r w:rsidR="00B61718" w:rsidRPr="00ED7C31">
        <w:rPr>
          <w:rStyle w:val="CharStyle6"/>
          <w:color w:val="000000"/>
          <w:sz w:val="30"/>
          <w:szCs w:val="30"/>
          <w:lang w:val="ru"/>
        </w:rPr>
        <w:t>те же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ручки в набор</w:t>
      </w:r>
      <w:r w:rsidR="00B61718" w:rsidRPr="00ED7C31">
        <w:rPr>
          <w:rStyle w:val="CharStyle6"/>
          <w:color w:val="000000"/>
          <w:sz w:val="30"/>
          <w:szCs w:val="30"/>
          <w:lang w:val="ru"/>
        </w:rPr>
        <w:t xml:space="preserve">ах </w:t>
      </w:r>
      <w:r w:rsidRPr="00ED7C31">
        <w:rPr>
          <w:rStyle w:val="CharStyle6"/>
          <w:color w:val="000000"/>
          <w:sz w:val="30"/>
          <w:szCs w:val="30"/>
          <w:lang w:val="ru"/>
        </w:rPr>
        <w:t>(код 9608 50 000 0 ТН ВЭД ЕАЭС) данные меры не распространяются.</w:t>
      </w:r>
    </w:p>
    <w:p w:rsidR="00CB202D" w:rsidRPr="00ED7C31" w:rsidRDefault="00B57FAE" w:rsidP="00DB65E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Согласно пункту 4 Правил </w:t>
      </w:r>
      <w:r w:rsidR="00534023" w:rsidRPr="00ED7C31">
        <w:rPr>
          <w:rStyle w:val="CharStyle6"/>
          <w:color w:val="000000"/>
          <w:sz w:val="30"/>
          <w:szCs w:val="30"/>
          <w:lang w:val="ru"/>
        </w:rPr>
        <w:t>осуществления государственного контроля драгоценных металлов и сырьевых товаров, содержащих драгоценные металлы (приложение № 2 к Положению) (далее – Правила)</w:t>
      </w:r>
      <w:r w:rsidR="00534023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при вывозе товаров, указанных в таблицах 1 и 3 раздела 2.10 единого перечня, в уполномоченный орган (организацию) государства-члена Союза представляются оригиналы лицензии на экспорт и спецификации на товар. </w:t>
      </w:r>
    </w:p>
    <w:p w:rsidR="00DB65E9" w:rsidRPr="00ED7C31" w:rsidRDefault="004618E8" w:rsidP="00DB65E9">
      <w:pPr>
        <w:pStyle w:val="Style5"/>
        <w:spacing w:before="0" w:after="0" w:line="240" w:lineRule="auto"/>
        <w:ind w:firstLine="697"/>
        <w:rPr>
          <w:sz w:val="30"/>
          <w:szCs w:val="30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При этом,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Правил</w:t>
      </w:r>
      <w:r w:rsidRPr="00ED7C31">
        <w:rPr>
          <w:rStyle w:val="CharStyle6"/>
          <w:color w:val="000000"/>
          <w:sz w:val="30"/>
          <w:szCs w:val="30"/>
          <w:lang w:val="ru"/>
        </w:rPr>
        <w:t>ами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выдачи лицензий и разрешений на экспорт и 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lastRenderedPageBreak/>
        <w:t>(или) импорт товаров</w:t>
      </w:r>
      <w:r w:rsidR="00767E10" w:rsidRPr="00ED7C31">
        <w:rPr>
          <w:rStyle w:val="CharStyle6"/>
          <w:color w:val="000000"/>
          <w:sz w:val="30"/>
          <w:szCs w:val="30"/>
          <w:lang w:val="ru"/>
        </w:rPr>
        <w:t>, включенных в единый перечень товаров, к которым применяются меры нетарифного регулирования в торговле с третьими странами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Pr="00ED7C31">
        <w:rPr>
          <w:rStyle w:val="CharStyle6"/>
          <w:color w:val="000000"/>
          <w:sz w:val="30"/>
          <w:szCs w:val="30"/>
          <w:lang w:val="ru"/>
        </w:rPr>
        <w:t>предусмотрено, что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CB202D" w:rsidRPr="00ED7C31">
        <w:rPr>
          <w:rStyle w:val="CharStyle6"/>
          <w:color w:val="000000"/>
          <w:sz w:val="30"/>
          <w:szCs w:val="30"/>
          <w:lang w:val="ru"/>
        </w:rPr>
        <w:t>лицензия может выдаваться (оформляться) в форме электронного документа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и в этом случае</w:t>
      </w:r>
      <w:r w:rsidR="00DB65E9" w:rsidRPr="00ED7C31">
        <w:rPr>
          <w:sz w:val="30"/>
          <w:szCs w:val="30"/>
        </w:rPr>
        <w:t xml:space="preserve"> представление оригинала лицензии для осуществления государственного контроля не </w:t>
      </w:r>
      <w:r w:rsidRPr="00ED7C31">
        <w:rPr>
          <w:sz w:val="30"/>
          <w:szCs w:val="30"/>
        </w:rPr>
        <w:t>требуется</w:t>
      </w:r>
      <w:r w:rsidR="00DB65E9" w:rsidRPr="00ED7C31">
        <w:rPr>
          <w:sz w:val="30"/>
          <w:szCs w:val="30"/>
        </w:rPr>
        <w:t>.</w:t>
      </w:r>
    </w:p>
    <w:p w:rsidR="00AB2FAE" w:rsidRPr="00ED7C31" w:rsidRDefault="003B78B4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Кроме того, пунктом 4 Правил предусмотрено, что 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акт государственного контроля при помещении товара под таможенную процедуру переработки вне таможенной территории оформляется только при наличии документа об условиях переработки товара вне таможенной территории, выданного таможенным органом. При этом</w:t>
      </w:r>
      <w:r w:rsidR="00F90104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 xml:space="preserve"> статья 177 Таможенного Кодекса </w:t>
      </w:r>
      <w:r w:rsidR="00767E10" w:rsidRPr="00ED7C31">
        <w:rPr>
          <w:rStyle w:val="CharStyle6"/>
          <w:color w:val="000000"/>
          <w:sz w:val="30"/>
          <w:szCs w:val="30"/>
          <w:lang w:val="ru"/>
        </w:rPr>
        <w:t>Евразийского экономического с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оюза допускает использование декларации на товары в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E40724" w:rsidRPr="00ED7C31">
        <w:rPr>
          <w:rStyle w:val="CharStyle6"/>
          <w:color w:val="000000"/>
          <w:sz w:val="30"/>
          <w:szCs w:val="30"/>
          <w:lang w:val="ru"/>
        </w:rPr>
        <w:t>качестве документа об условиях переработки товаров вне таможенной территории, если целью применения таможенной процедуры переработки вне таможенной территории является ремонт товаров.</w:t>
      </w:r>
    </w:p>
    <w:p w:rsidR="00DB65E9" w:rsidRPr="00ED7C31" w:rsidRDefault="00E40724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Также действующая редакция Правил не содержит положений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по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аннулировани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ю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акта государственного контроля.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При этом</w:t>
      </w:r>
      <w:r w:rsidR="00036AF8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на практике имеют место 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 xml:space="preserve">случаи 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>повторного представления товаров на государственный контроль, если после проведенного ранее государственного контроля вы</w:t>
      </w:r>
      <w:r w:rsidR="00F90104" w:rsidRPr="00ED7C31">
        <w:rPr>
          <w:rStyle w:val="CharStyle6"/>
          <w:color w:val="000000"/>
          <w:sz w:val="30"/>
          <w:szCs w:val="30"/>
          <w:lang w:val="ru"/>
        </w:rPr>
        <w:t>воз</w:t>
      </w:r>
      <w:r w:rsidR="00DB65E9" w:rsidRPr="00ED7C31">
        <w:rPr>
          <w:rStyle w:val="CharStyle6"/>
          <w:color w:val="000000"/>
          <w:sz w:val="30"/>
          <w:szCs w:val="30"/>
          <w:lang w:val="ru"/>
        </w:rPr>
        <w:t xml:space="preserve"> товара не состоялся, в следствие чего возникают случаи, когда на один и тот же товар могут быть оформлены два и более актов государственного контроля.</w:t>
      </w:r>
    </w:p>
    <w:p w:rsidR="00F859B0" w:rsidRPr="00ED7C31" w:rsidRDefault="00B208B1" w:rsidP="00992272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С учетом вышеизложенного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Российской Федерацией в Комиссию </w:t>
      </w:r>
      <w:r w:rsidR="00036AF8" w:rsidRPr="00ED7C31">
        <w:rPr>
          <w:rStyle w:val="CharStyle6"/>
          <w:color w:val="000000"/>
          <w:sz w:val="30"/>
          <w:szCs w:val="30"/>
          <w:lang w:val="ru"/>
        </w:rPr>
        <w:t xml:space="preserve">было 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>внесено инициативное предложение, предусматривающее внесени</w:t>
      </w:r>
      <w:r w:rsidRPr="00ED7C31">
        <w:rPr>
          <w:rStyle w:val="CharStyle6"/>
          <w:color w:val="000000"/>
          <w:sz w:val="30"/>
          <w:szCs w:val="30"/>
          <w:lang w:val="ru"/>
        </w:rPr>
        <w:t>е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 изменений в таблицу 3 раздела 2.10 единого перечня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 xml:space="preserve"> в </w:t>
      </w:r>
      <w:r w:rsidRPr="00ED7C31">
        <w:rPr>
          <w:rStyle w:val="CharStyle6"/>
          <w:color w:val="000000"/>
          <w:sz w:val="30"/>
          <w:szCs w:val="30"/>
          <w:lang w:val="ru"/>
        </w:rPr>
        <w:t>Положение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, включая Правила</w:t>
      </w:r>
      <w:r w:rsidR="00F859B0" w:rsidRPr="00ED7C31">
        <w:rPr>
          <w:rStyle w:val="CharStyle6"/>
          <w:color w:val="000000"/>
          <w:sz w:val="30"/>
          <w:szCs w:val="30"/>
          <w:lang w:val="ru"/>
        </w:rPr>
        <w:t>.</w:t>
      </w:r>
    </w:p>
    <w:p w:rsidR="00A25199" w:rsidRPr="00ED7C31" w:rsidRDefault="00A25199" w:rsidP="00F9010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 xml:space="preserve">По итогам обсуждения </w:t>
      </w:r>
      <w:r w:rsidR="004618E8" w:rsidRPr="00ED7C31">
        <w:rPr>
          <w:rStyle w:val="CharStyle6"/>
          <w:color w:val="000000"/>
          <w:sz w:val="30"/>
          <w:szCs w:val="30"/>
          <w:lang w:val="ru"/>
        </w:rPr>
        <w:t>соответствующей инициативы</w:t>
      </w:r>
      <w:r w:rsidRPr="00ED7C31">
        <w:rPr>
          <w:rStyle w:val="CharStyle6"/>
          <w:color w:val="000000"/>
          <w:sz w:val="30"/>
          <w:szCs w:val="30"/>
          <w:lang w:val="ru"/>
        </w:rPr>
        <w:t xml:space="preserve"> на экспертных совещаниях с представителями уполномоченных органов государств-членов Союза, проведенных на площадке Комиссии, подготовлен проект решения, который учитывает позиции Сторон и согласован государствами-членами Союза.</w:t>
      </w:r>
    </w:p>
    <w:p w:rsidR="00A25199" w:rsidRPr="00ED7C31" w:rsidRDefault="004618E8" w:rsidP="00F9010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  <w:r w:rsidRPr="00ED7C31">
        <w:rPr>
          <w:rStyle w:val="CharStyle6"/>
          <w:color w:val="000000"/>
          <w:sz w:val="30"/>
          <w:szCs w:val="30"/>
          <w:lang w:val="ru"/>
        </w:rPr>
        <w:t>Также п</w:t>
      </w:r>
      <w:r w:rsidR="00A25199" w:rsidRPr="00ED7C31">
        <w:rPr>
          <w:rStyle w:val="CharStyle6"/>
          <w:color w:val="000000"/>
          <w:sz w:val="30"/>
          <w:szCs w:val="30"/>
          <w:lang w:val="ru"/>
        </w:rPr>
        <w:t xml:space="preserve">роект решения </w:t>
      </w:r>
      <w:r w:rsidR="00ED7C31">
        <w:rPr>
          <w:rStyle w:val="CharStyle6"/>
          <w:color w:val="000000"/>
          <w:sz w:val="30"/>
          <w:szCs w:val="30"/>
          <w:lang w:val="ru"/>
        </w:rPr>
        <w:t>рассмотрен</w:t>
      </w:r>
      <w:r w:rsidR="00A25199" w:rsidRPr="00ED7C31">
        <w:rPr>
          <w:rStyle w:val="CharStyle6"/>
          <w:color w:val="000000"/>
          <w:sz w:val="30"/>
          <w:szCs w:val="30"/>
          <w:lang w:val="ru"/>
        </w:rPr>
        <w:t xml:space="preserve"> на заседании подкомитета по </w:t>
      </w:r>
      <w:r w:rsidR="00A25199" w:rsidRPr="00ED7C31">
        <w:rPr>
          <w:rStyle w:val="CharStyle6"/>
          <w:color w:val="000000"/>
          <w:sz w:val="30"/>
          <w:szCs w:val="30"/>
          <w:lang w:val="ru"/>
        </w:rPr>
        <w:br/>
        <w:t>таможенно-тарифному, нетарифному регулированию и защитным мерам Консультативного комитета по торговле</w:t>
      </w:r>
      <w:r w:rsidR="00036AF8" w:rsidRPr="00ED7C31">
        <w:rPr>
          <w:rStyle w:val="CharStyle6"/>
          <w:color w:val="000000"/>
          <w:sz w:val="30"/>
          <w:szCs w:val="30"/>
          <w:lang w:val="ru"/>
        </w:rPr>
        <w:t xml:space="preserve"> в декабре 2023 года.</w:t>
      </w:r>
    </w:p>
    <w:p w:rsidR="00161059" w:rsidRPr="00ED7C31" w:rsidRDefault="00161059" w:rsidP="00F90104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Style5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2. Цель регулирования.</w:t>
      </w:r>
    </w:p>
    <w:p w:rsidR="00A25199" w:rsidRPr="00ED7C31" w:rsidRDefault="00A25199" w:rsidP="00320D3C">
      <w:pPr>
        <w:pStyle w:val="Style5"/>
        <w:shd w:val="clear" w:color="auto" w:fill="auto"/>
        <w:spacing w:before="0" w:after="0" w:line="240" w:lineRule="auto"/>
        <w:ind w:firstLine="709"/>
        <w:rPr>
          <w:bCs/>
          <w:sz w:val="30"/>
          <w:szCs w:val="30"/>
        </w:rPr>
      </w:pPr>
      <w:r w:rsidRPr="00ED7C31">
        <w:rPr>
          <w:bCs/>
          <w:sz w:val="30"/>
          <w:szCs w:val="30"/>
        </w:rPr>
        <w:t xml:space="preserve">Целью регулирования проекта решения является создание правовых условий, обеспечивающих </w:t>
      </w:r>
      <w:r w:rsidR="00380E7E" w:rsidRPr="00ED7C31">
        <w:rPr>
          <w:bCs/>
          <w:sz w:val="30"/>
          <w:szCs w:val="30"/>
        </w:rPr>
        <w:t>либерализацию ввоза (вывоза)</w:t>
      </w:r>
      <w:r w:rsidRPr="00ED7C31">
        <w:rPr>
          <w:bCs/>
          <w:sz w:val="30"/>
          <w:szCs w:val="30"/>
        </w:rPr>
        <w:t xml:space="preserve"> отдельных </w:t>
      </w:r>
      <w:r w:rsidR="00380E7E" w:rsidRPr="00ED7C31">
        <w:rPr>
          <w:bCs/>
          <w:sz w:val="30"/>
          <w:szCs w:val="30"/>
        </w:rPr>
        <w:t xml:space="preserve">категорий </w:t>
      </w:r>
      <w:r w:rsidR="004618E8" w:rsidRPr="00ED7C31">
        <w:rPr>
          <w:bCs/>
          <w:sz w:val="30"/>
          <w:szCs w:val="30"/>
        </w:rPr>
        <w:t>драгоценных металлов</w:t>
      </w:r>
      <w:r w:rsidR="00380E7E" w:rsidRPr="00ED7C31">
        <w:rPr>
          <w:bCs/>
          <w:sz w:val="30"/>
          <w:szCs w:val="30"/>
        </w:rPr>
        <w:t xml:space="preserve">, </w:t>
      </w:r>
      <w:r w:rsidRPr="00ED7C31">
        <w:rPr>
          <w:bCs/>
          <w:sz w:val="30"/>
          <w:szCs w:val="30"/>
        </w:rPr>
        <w:t>упро</w:t>
      </w:r>
      <w:r w:rsidR="00797071" w:rsidRPr="00ED7C31">
        <w:rPr>
          <w:bCs/>
          <w:sz w:val="30"/>
          <w:szCs w:val="30"/>
        </w:rPr>
        <w:t>щение</w:t>
      </w:r>
      <w:r w:rsidRPr="00ED7C31">
        <w:rPr>
          <w:bCs/>
          <w:sz w:val="30"/>
          <w:szCs w:val="30"/>
        </w:rPr>
        <w:t xml:space="preserve"> прохождени</w:t>
      </w:r>
      <w:r w:rsidR="00797071" w:rsidRPr="00ED7C31">
        <w:rPr>
          <w:bCs/>
          <w:sz w:val="30"/>
          <w:szCs w:val="30"/>
        </w:rPr>
        <w:t>я</w:t>
      </w:r>
      <w:r w:rsidRPr="00ED7C31">
        <w:rPr>
          <w:bCs/>
          <w:sz w:val="30"/>
          <w:szCs w:val="30"/>
        </w:rPr>
        <w:t xml:space="preserve"> государственного контроля, оптимиз</w:t>
      </w:r>
      <w:r w:rsidR="004618E8" w:rsidRPr="00ED7C31">
        <w:rPr>
          <w:bCs/>
          <w:sz w:val="30"/>
          <w:szCs w:val="30"/>
        </w:rPr>
        <w:t>ацию</w:t>
      </w:r>
      <w:r w:rsidRPr="00ED7C31">
        <w:rPr>
          <w:bCs/>
          <w:sz w:val="30"/>
          <w:szCs w:val="30"/>
        </w:rPr>
        <w:t xml:space="preserve"> перечн</w:t>
      </w:r>
      <w:r w:rsidR="00797071" w:rsidRPr="00ED7C31">
        <w:rPr>
          <w:bCs/>
          <w:sz w:val="30"/>
          <w:szCs w:val="30"/>
        </w:rPr>
        <w:t>я</w:t>
      </w:r>
      <w:r w:rsidRPr="00ED7C31">
        <w:rPr>
          <w:bCs/>
          <w:sz w:val="30"/>
          <w:szCs w:val="30"/>
        </w:rPr>
        <w:t xml:space="preserve"> документов, предоставляемых участником внешнеторговой деятельности </w:t>
      </w:r>
      <w:r w:rsidRPr="00ED7C31">
        <w:rPr>
          <w:bCs/>
          <w:sz w:val="30"/>
          <w:szCs w:val="30"/>
        </w:rPr>
        <w:lastRenderedPageBreak/>
        <w:t>государственным органам государств-членов Союза, уполномоченным осуществлять контроль за оборотом драгоценных металлов на территории государства-</w:t>
      </w:r>
      <w:r w:rsidR="00443376" w:rsidRPr="00ED7C31">
        <w:rPr>
          <w:bCs/>
          <w:sz w:val="30"/>
          <w:szCs w:val="30"/>
        </w:rPr>
        <w:t>члена Союза, а также примен</w:t>
      </w:r>
      <w:r w:rsidR="00797071" w:rsidRPr="00ED7C31">
        <w:rPr>
          <w:bCs/>
          <w:sz w:val="30"/>
          <w:szCs w:val="30"/>
        </w:rPr>
        <w:t xml:space="preserve">ение </w:t>
      </w:r>
      <w:r w:rsidR="00443376" w:rsidRPr="00ED7C31">
        <w:rPr>
          <w:bCs/>
          <w:sz w:val="30"/>
          <w:szCs w:val="30"/>
        </w:rPr>
        <w:t>едины</w:t>
      </w:r>
      <w:r w:rsidR="00797071" w:rsidRPr="00ED7C31">
        <w:rPr>
          <w:bCs/>
          <w:sz w:val="30"/>
          <w:szCs w:val="30"/>
        </w:rPr>
        <w:t>х</w:t>
      </w:r>
      <w:r w:rsidR="00443376" w:rsidRPr="00ED7C31">
        <w:rPr>
          <w:bCs/>
          <w:sz w:val="30"/>
          <w:szCs w:val="30"/>
        </w:rPr>
        <w:t xml:space="preserve"> мер нетарифного регулирования к одинаковым товарам. </w:t>
      </w:r>
    </w:p>
    <w:p w:rsidR="006626D6" w:rsidRPr="00ED7C31" w:rsidRDefault="006626D6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3. Группа лиц, на защиту интересов которых, направлен проект решения ЕЭК.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Проект решения направлен на защиту интересов:</w:t>
      </w:r>
    </w:p>
    <w:p w:rsidR="00320D3C" w:rsidRPr="00ED7C31" w:rsidRDefault="0092479A" w:rsidP="00320D3C">
      <w:pPr>
        <w:pStyle w:val="Style4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субъект</w:t>
      </w:r>
      <w:r w:rsidR="001F7C77" w:rsidRPr="00ED7C31">
        <w:rPr>
          <w:rStyle w:val="CharStyle5"/>
          <w:color w:val="000000"/>
          <w:sz w:val="30"/>
          <w:szCs w:val="30"/>
          <w:lang w:val="ru"/>
        </w:rPr>
        <w:t>ов</w:t>
      </w:r>
      <w:r w:rsidRPr="00ED7C31">
        <w:rPr>
          <w:rStyle w:val="CharStyle5"/>
          <w:color w:val="000000"/>
          <w:sz w:val="30"/>
          <w:szCs w:val="30"/>
        </w:rPr>
        <w:t xml:space="preserve"> предпринимательской деятельности, осуществляющи</w:t>
      </w:r>
      <w:r w:rsidR="001F7C77" w:rsidRPr="00ED7C31">
        <w:rPr>
          <w:rStyle w:val="CharStyle5"/>
          <w:color w:val="000000"/>
          <w:sz w:val="30"/>
          <w:szCs w:val="30"/>
        </w:rPr>
        <w:t>х</w:t>
      </w:r>
      <w:r w:rsidRPr="00ED7C31">
        <w:rPr>
          <w:rStyle w:val="CharStyle5"/>
          <w:color w:val="000000"/>
          <w:sz w:val="30"/>
          <w:szCs w:val="30"/>
        </w:rPr>
        <w:t xml:space="preserve"> ввоз (вывоз) драгоценных металлов; 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орган</w:t>
      </w:r>
      <w:r w:rsidR="001F7C77" w:rsidRPr="00ED7C31">
        <w:rPr>
          <w:rStyle w:val="CharStyle5"/>
          <w:color w:val="000000"/>
          <w:sz w:val="30"/>
          <w:szCs w:val="30"/>
          <w:lang w:val="ru"/>
        </w:rPr>
        <w:t>ов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государств-членов Союза, уполномоченных осуществлять контроль за оборотом драгоценных </w:t>
      </w:r>
      <w:r w:rsidR="006704A1" w:rsidRPr="00ED7C31">
        <w:rPr>
          <w:rStyle w:val="CharStyle5"/>
          <w:color w:val="000000"/>
          <w:sz w:val="30"/>
          <w:szCs w:val="30"/>
          <w:lang w:val="ru"/>
        </w:rPr>
        <w:t>металлов</w:t>
      </w:r>
      <w:r w:rsidR="007C2F74"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320D3C" w:rsidRPr="00ED7C31" w:rsidRDefault="007C2F74" w:rsidP="00320D3C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таможенны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х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орган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ов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государств-членов Союза.</w:t>
      </w:r>
    </w:p>
    <w:p w:rsidR="007C2F74" w:rsidRPr="00ED7C31" w:rsidRDefault="007C2F74" w:rsidP="00320D3C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4. Адресаты регулирования, в том числе субъекты предпринимательской деятельности, и воздействие, оказываемое на них регулированием.</w:t>
      </w:r>
    </w:p>
    <w:p w:rsidR="00320D3C" w:rsidRPr="00ED7C31" w:rsidRDefault="00320D3C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Адресатами регулирования являются:</w:t>
      </w:r>
    </w:p>
    <w:p w:rsidR="0092479A" w:rsidRPr="00ED7C31" w:rsidRDefault="0092479A" w:rsidP="00320D3C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субъекты</w:t>
      </w:r>
      <w:r w:rsidRPr="00ED7C31">
        <w:rPr>
          <w:rStyle w:val="CharStyle5"/>
          <w:color w:val="000000"/>
          <w:sz w:val="30"/>
          <w:szCs w:val="30"/>
        </w:rPr>
        <w:t xml:space="preserve"> предпринимательской деятельности, осуществляющие ввоз (вывоз) драгоценных металлов</w:t>
      </w:r>
      <w:r w:rsidR="00972347" w:rsidRPr="00ED7C31">
        <w:rPr>
          <w:rStyle w:val="CharStyle5"/>
          <w:color w:val="000000"/>
          <w:sz w:val="30"/>
          <w:szCs w:val="30"/>
        </w:rPr>
        <w:t>;</w:t>
      </w:r>
    </w:p>
    <w:p w:rsidR="0092479A" w:rsidRPr="00ED7C31" w:rsidRDefault="0092479A" w:rsidP="007C2F74">
      <w:pPr>
        <w:pStyle w:val="Style4"/>
        <w:widowControl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органы государств-членов Союза, уполномоченны</w:t>
      </w:r>
      <w:r w:rsidR="00AA0DE2" w:rsidRPr="00ED7C31">
        <w:rPr>
          <w:rStyle w:val="CharStyle5"/>
          <w:color w:val="000000"/>
          <w:sz w:val="30"/>
          <w:szCs w:val="30"/>
          <w:lang w:val="ru"/>
        </w:rPr>
        <w:t>е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осуществлять контроль за оборотом драгоценных металлов</w:t>
      </w:r>
      <w:r w:rsidR="00380E7E"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380E7E" w:rsidRPr="00ED7C31" w:rsidRDefault="00380E7E" w:rsidP="00380E7E">
      <w:pPr>
        <w:pStyle w:val="Style4"/>
        <w:shd w:val="clear" w:color="auto" w:fill="auto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таможенные органы государств-членов Союза.</w:t>
      </w:r>
    </w:p>
    <w:p w:rsidR="007C2F74" w:rsidRPr="00ED7C31" w:rsidRDefault="007C2F74" w:rsidP="007C2F74">
      <w:pPr>
        <w:pStyle w:val="Style4"/>
        <w:tabs>
          <w:tab w:val="left" w:pos="993"/>
        </w:tabs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Воздействие, оказываемое на адресатов предлагаемым регулированием, заключается в создании благоприятны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х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услови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й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для деятельности участников внешнеторговой деятельности, повышении эффективности осуществления государственного контроля за ввозом </w:t>
      </w:r>
      <w:r w:rsidR="00F90104" w:rsidRPr="00ED7C31">
        <w:rPr>
          <w:rStyle w:val="CharStyle5"/>
          <w:color w:val="000000"/>
          <w:sz w:val="30"/>
          <w:szCs w:val="30"/>
          <w:lang w:val="ru"/>
        </w:rPr>
        <w:t>(вывозом) драгоценных металлов,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а также сокращени</w:t>
      </w:r>
      <w:r w:rsidR="00797071" w:rsidRPr="00ED7C31">
        <w:rPr>
          <w:rStyle w:val="CharStyle5"/>
          <w:color w:val="000000"/>
          <w:sz w:val="30"/>
          <w:szCs w:val="30"/>
          <w:lang w:val="ru"/>
        </w:rPr>
        <w:t>и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проведения административных процедур таможенными органами контроля соблюдения мер нетарифного регулирования.</w:t>
      </w:r>
    </w:p>
    <w:p w:rsidR="00443376" w:rsidRPr="00ED7C31" w:rsidRDefault="00443376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</w:p>
    <w:p w:rsidR="00161059" w:rsidRPr="00ED7C31" w:rsidRDefault="00161059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</w:p>
    <w:p w:rsidR="00320D3C" w:rsidRPr="00ED7C31" w:rsidRDefault="00320D3C" w:rsidP="00320D3C">
      <w:pPr>
        <w:pStyle w:val="Style4"/>
        <w:shd w:val="clear" w:color="auto" w:fill="auto"/>
        <w:spacing w:before="0" w:after="0" w:line="240" w:lineRule="auto"/>
        <w:ind w:firstLine="709"/>
        <w:rPr>
          <w:b/>
          <w:sz w:val="30"/>
          <w:szCs w:val="30"/>
        </w:rPr>
      </w:pPr>
      <w:r w:rsidRPr="00ED7C31">
        <w:rPr>
          <w:b/>
          <w:bCs/>
          <w:sz w:val="30"/>
          <w:szCs w:val="30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</w:t>
      </w:r>
      <w:r w:rsidR="00E0048D" w:rsidRPr="00ED7C31">
        <w:rPr>
          <w:b/>
          <w:bCs/>
          <w:sz w:val="30"/>
          <w:szCs w:val="30"/>
        </w:rPr>
        <w:t xml:space="preserve"> </w:t>
      </w:r>
      <w:r w:rsidRPr="00ED7C31">
        <w:rPr>
          <w:b/>
          <w:bCs/>
          <w:sz w:val="30"/>
          <w:szCs w:val="30"/>
        </w:rPr>
        <w:t>и решаемой проблемой).</w:t>
      </w:r>
    </w:p>
    <w:p w:rsidR="004618E8" w:rsidRPr="00ED7C31" w:rsidRDefault="00003EF9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 xml:space="preserve">Проектом решения </w:t>
      </w:r>
      <w:r w:rsidR="004618E8" w:rsidRPr="00ED7C31">
        <w:rPr>
          <w:rStyle w:val="CharStyle5"/>
          <w:color w:val="000000"/>
          <w:sz w:val="30"/>
          <w:szCs w:val="30"/>
        </w:rPr>
        <w:t>предусматривается:</w:t>
      </w:r>
    </w:p>
    <w:p w:rsidR="00003EF9" w:rsidRPr="00ED7C31" w:rsidRDefault="004618E8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 xml:space="preserve">исключить из регулирования </w:t>
      </w:r>
      <w:r w:rsidR="00003EF9" w:rsidRPr="00ED7C31">
        <w:rPr>
          <w:rStyle w:val="CharStyle5"/>
          <w:color w:val="000000"/>
          <w:sz w:val="30"/>
          <w:szCs w:val="30"/>
        </w:rPr>
        <w:t>растворы, порошки и прочие химические соединения, используемые для химического синтеза в качестве добавок при производстве косметических средств, фармацевтических субстанций, а также иных товаров</w:t>
      </w:r>
      <w:r w:rsidR="00443376" w:rsidRPr="00ED7C31">
        <w:rPr>
          <w:rStyle w:val="CharStyle5"/>
          <w:color w:val="000000"/>
          <w:sz w:val="30"/>
          <w:szCs w:val="30"/>
        </w:rPr>
        <w:t xml:space="preserve"> (код 2843 ТН ВЭД ЕАЭС)</w:t>
      </w:r>
      <w:r w:rsidR="00003EF9" w:rsidRPr="00ED7C31">
        <w:rPr>
          <w:rStyle w:val="CharStyle5"/>
          <w:color w:val="000000"/>
          <w:sz w:val="30"/>
          <w:szCs w:val="30"/>
        </w:rPr>
        <w:t>, доля драгоценных металлов</w:t>
      </w:r>
      <w:r w:rsidR="00082664" w:rsidRPr="00ED7C31">
        <w:rPr>
          <w:rStyle w:val="CharStyle5"/>
          <w:color w:val="000000"/>
          <w:sz w:val="30"/>
          <w:szCs w:val="30"/>
        </w:rPr>
        <w:t xml:space="preserve"> в которых не превышает 2 мас.%</w:t>
      </w:r>
      <w:r w:rsidR="00F705AF" w:rsidRPr="00ED7C31">
        <w:rPr>
          <w:rStyle w:val="CharStyle5"/>
          <w:color w:val="000000"/>
          <w:sz w:val="30"/>
          <w:szCs w:val="30"/>
        </w:rPr>
        <w:t>;</w:t>
      </w:r>
    </w:p>
    <w:p w:rsidR="00F705AF" w:rsidRPr="00ED7C31" w:rsidRDefault="00F705A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lastRenderedPageBreak/>
        <w:t>применять идентичные меры регулирования как в отношении изготовленных из драгоценных металлов ручек шариковых и перьевых, так и в отношении таких ручек в составе наборов;</w:t>
      </w:r>
    </w:p>
    <w:p w:rsidR="00EA429D" w:rsidRPr="00ED7C31" w:rsidRDefault="00F705AF" w:rsidP="00EA429D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 xml:space="preserve">осуществлять </w:t>
      </w:r>
      <w:r w:rsidR="00003EF9" w:rsidRPr="00ED7C31">
        <w:rPr>
          <w:rStyle w:val="CharStyle5"/>
          <w:color w:val="000000"/>
          <w:sz w:val="30"/>
          <w:szCs w:val="30"/>
        </w:rPr>
        <w:t xml:space="preserve">государственный контроль </w:t>
      </w:r>
      <w:r w:rsidR="00BA22C6" w:rsidRPr="00ED7C31">
        <w:rPr>
          <w:rStyle w:val="CharStyle5"/>
          <w:color w:val="000000"/>
          <w:sz w:val="30"/>
          <w:szCs w:val="30"/>
        </w:rPr>
        <w:t>на специализированных (категорированных) таможенных постах или в отделах таможенных органов государств-членов Союза, созданных в соответствии с законодательством государств-членов Союза, а также в иных местах, если это предусмотрено законодательством государства-члена Союза</w:t>
      </w:r>
      <w:r w:rsidR="00EA429D" w:rsidRPr="00ED7C31">
        <w:rPr>
          <w:rStyle w:val="CharStyle5"/>
          <w:color w:val="000000"/>
          <w:sz w:val="30"/>
          <w:szCs w:val="30"/>
        </w:rPr>
        <w:t>;</w:t>
      </w:r>
      <w:r w:rsidR="00BA22C6" w:rsidRPr="00ED7C31">
        <w:rPr>
          <w:rStyle w:val="CharStyle5"/>
          <w:color w:val="000000"/>
          <w:sz w:val="30"/>
          <w:szCs w:val="30"/>
        </w:rPr>
        <w:t xml:space="preserve"> </w:t>
      </w:r>
    </w:p>
    <w:p w:rsidR="00150BF0" w:rsidRPr="00ED7C31" w:rsidRDefault="00EA429D" w:rsidP="00EA429D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>о</w:t>
      </w:r>
      <w:r w:rsidR="00BA22C6" w:rsidRPr="00ED7C31">
        <w:rPr>
          <w:rStyle w:val="CharStyle5"/>
          <w:color w:val="000000"/>
          <w:sz w:val="30"/>
          <w:szCs w:val="30"/>
        </w:rPr>
        <w:t>существлять</w:t>
      </w:r>
      <w:r w:rsidRPr="00ED7C31">
        <w:rPr>
          <w:rStyle w:val="CharStyle5"/>
          <w:color w:val="000000"/>
          <w:sz w:val="30"/>
          <w:szCs w:val="30"/>
        </w:rPr>
        <w:t xml:space="preserve"> государственный контроль</w:t>
      </w:r>
      <w:r w:rsidR="00BA22C6" w:rsidRPr="00ED7C31">
        <w:rPr>
          <w:rStyle w:val="CharStyle5"/>
          <w:color w:val="000000"/>
          <w:sz w:val="30"/>
          <w:szCs w:val="30"/>
        </w:rPr>
        <w:t xml:space="preserve"> </w:t>
      </w:r>
      <w:r w:rsidR="00003EF9" w:rsidRPr="00ED7C31">
        <w:rPr>
          <w:rStyle w:val="CharStyle5"/>
          <w:color w:val="000000"/>
          <w:sz w:val="30"/>
          <w:szCs w:val="30"/>
        </w:rPr>
        <w:t>с применени</w:t>
      </w:r>
      <w:r w:rsidR="00BA22C6" w:rsidRPr="00ED7C31">
        <w:rPr>
          <w:rStyle w:val="CharStyle5"/>
          <w:color w:val="000000"/>
          <w:sz w:val="30"/>
          <w:szCs w:val="30"/>
        </w:rPr>
        <w:t>ем</w:t>
      </w:r>
      <w:r w:rsidR="00003EF9" w:rsidRPr="00ED7C31">
        <w:rPr>
          <w:rStyle w:val="CharStyle5"/>
          <w:color w:val="000000"/>
          <w:sz w:val="30"/>
          <w:szCs w:val="30"/>
        </w:rPr>
        <w:t xml:space="preserve"> риск-ориентированного подхода</w:t>
      </w:r>
      <w:r w:rsidR="00A62236" w:rsidRPr="00ED7C31">
        <w:rPr>
          <w:rStyle w:val="CharStyle5"/>
          <w:color w:val="000000"/>
          <w:sz w:val="30"/>
          <w:szCs w:val="30"/>
        </w:rPr>
        <w:t xml:space="preserve">, </w:t>
      </w:r>
      <w:r w:rsidR="00D91188" w:rsidRPr="00ED7C31">
        <w:rPr>
          <w:rStyle w:val="CharStyle5"/>
          <w:color w:val="000000"/>
          <w:sz w:val="30"/>
          <w:szCs w:val="30"/>
        </w:rPr>
        <w:t>если это предусмотрено законодательством государства-члена Союза</w:t>
      </w:r>
      <w:r w:rsidR="0069372A" w:rsidRPr="00ED7C31">
        <w:rPr>
          <w:rStyle w:val="CharStyle5"/>
          <w:color w:val="000000"/>
          <w:sz w:val="30"/>
          <w:szCs w:val="30"/>
        </w:rPr>
        <w:t>.</w:t>
      </w:r>
      <w:r w:rsidR="00D91188" w:rsidRPr="00ED7C31">
        <w:rPr>
          <w:rStyle w:val="CharStyle5"/>
          <w:color w:val="000000"/>
          <w:sz w:val="30"/>
          <w:szCs w:val="30"/>
        </w:rPr>
        <w:t xml:space="preserve"> </w:t>
      </w:r>
      <w:r w:rsidR="0069372A" w:rsidRPr="00ED7C31">
        <w:rPr>
          <w:rStyle w:val="CharStyle5"/>
          <w:color w:val="000000"/>
          <w:sz w:val="30"/>
          <w:szCs w:val="30"/>
        </w:rPr>
        <w:t xml:space="preserve">Риск-ориентированный подход </w:t>
      </w:r>
      <w:r w:rsidR="00150BF0" w:rsidRPr="00ED7C31">
        <w:rPr>
          <w:rStyle w:val="CharStyle5"/>
          <w:color w:val="000000"/>
          <w:sz w:val="30"/>
          <w:szCs w:val="30"/>
        </w:rPr>
        <w:t>позволит уменьшить административную нагрузку на бизнес со стороны государства</w:t>
      </w:r>
      <w:r w:rsidR="00F705AF" w:rsidRPr="00ED7C31">
        <w:rPr>
          <w:rStyle w:val="CharStyle5"/>
          <w:color w:val="000000"/>
          <w:sz w:val="30"/>
          <w:szCs w:val="30"/>
        </w:rPr>
        <w:t>;</w:t>
      </w:r>
    </w:p>
    <w:p w:rsidR="00A62236" w:rsidRPr="00ED7C31" w:rsidRDefault="00F705A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>представлять государственным органам (организациям) государств-членов Союза, уполномоченным осуществлять    контроль    за    оборотом    драгоценных    металлов на территории государства-члена Союза, копии документов взамен оригиналов (лицензии на экспорт, спецификации на товар) в</w:t>
      </w:r>
      <w:r w:rsidR="00A62236" w:rsidRPr="00ED7C31">
        <w:rPr>
          <w:rStyle w:val="CharStyle5"/>
          <w:color w:val="000000"/>
          <w:sz w:val="30"/>
          <w:szCs w:val="30"/>
        </w:rPr>
        <w:t xml:space="preserve"> целях оптимизации перечня документов для осуществления государственного контроля</w:t>
      </w:r>
      <w:r w:rsidRPr="00ED7C31">
        <w:rPr>
          <w:rStyle w:val="CharStyle5"/>
          <w:color w:val="000000"/>
          <w:sz w:val="30"/>
          <w:szCs w:val="30"/>
        </w:rPr>
        <w:t>;</w:t>
      </w:r>
    </w:p>
    <w:p w:rsidR="00515C0F" w:rsidRPr="00ED7C31" w:rsidRDefault="00515C0F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 xml:space="preserve">использовать в качестве документа об условиях переработки товаров вне таможенной территории соответствующую декларацию на товар </w:t>
      </w:r>
      <w:r w:rsidR="0069372A" w:rsidRPr="00ED7C31">
        <w:rPr>
          <w:rStyle w:val="CharStyle5"/>
          <w:color w:val="000000"/>
          <w:sz w:val="30"/>
          <w:szCs w:val="30"/>
        </w:rPr>
        <w:t>для осуществления государственного контроля при вывозе товаров для ремонта</w:t>
      </w:r>
      <w:r w:rsidRPr="00ED7C31">
        <w:rPr>
          <w:rStyle w:val="CharStyle5"/>
          <w:color w:val="000000"/>
          <w:sz w:val="30"/>
          <w:szCs w:val="30"/>
        </w:rPr>
        <w:t>;</w:t>
      </w:r>
    </w:p>
    <w:p w:rsidR="00515C0F" w:rsidRPr="00ED7C31" w:rsidRDefault="0069372A" w:rsidP="00003EF9">
      <w:pPr>
        <w:pStyle w:val="Style5"/>
        <w:spacing w:before="0" w:after="0" w:line="240" w:lineRule="auto"/>
        <w:ind w:firstLine="697"/>
        <w:rPr>
          <w:rStyle w:val="CharStyle5"/>
          <w:color w:val="000000"/>
          <w:sz w:val="30"/>
          <w:szCs w:val="30"/>
        </w:rPr>
      </w:pPr>
      <w:r w:rsidRPr="00ED7C31">
        <w:rPr>
          <w:rStyle w:val="CharStyle5"/>
          <w:color w:val="000000"/>
          <w:sz w:val="30"/>
          <w:szCs w:val="30"/>
        </w:rPr>
        <w:t xml:space="preserve"> </w:t>
      </w:r>
      <w:r w:rsidR="00515C0F" w:rsidRPr="00ED7C31">
        <w:rPr>
          <w:rStyle w:val="CharStyle5"/>
          <w:color w:val="000000"/>
          <w:sz w:val="30"/>
          <w:szCs w:val="30"/>
        </w:rPr>
        <w:t>устанавлива</w:t>
      </w:r>
      <w:r w:rsidR="000C0FBB" w:rsidRPr="00ED7C31">
        <w:rPr>
          <w:rStyle w:val="CharStyle5"/>
          <w:color w:val="000000"/>
          <w:sz w:val="30"/>
          <w:szCs w:val="30"/>
        </w:rPr>
        <w:t>ть</w:t>
      </w:r>
      <w:r w:rsidR="00515C0F" w:rsidRPr="00ED7C31">
        <w:rPr>
          <w:rStyle w:val="CharStyle5"/>
          <w:color w:val="000000"/>
          <w:sz w:val="30"/>
          <w:szCs w:val="30"/>
        </w:rPr>
        <w:t xml:space="preserve"> случаи, при которых акт государственного контроля может быть аннулирован, в</w:t>
      </w:r>
      <w:r w:rsidR="008E2415" w:rsidRPr="00ED7C31">
        <w:rPr>
          <w:rStyle w:val="CharStyle5"/>
          <w:color w:val="000000"/>
          <w:sz w:val="30"/>
          <w:szCs w:val="30"/>
        </w:rPr>
        <w:t xml:space="preserve"> целях исключения оформления двух и более актов государственного контроля на один и тот же товар при его повторном представлении на государственный контроль</w:t>
      </w:r>
      <w:r w:rsidR="00515C0F" w:rsidRPr="00ED7C31">
        <w:rPr>
          <w:rStyle w:val="CharStyle5"/>
          <w:color w:val="000000"/>
          <w:sz w:val="30"/>
          <w:szCs w:val="30"/>
        </w:rPr>
        <w:t>.</w:t>
      </w:r>
    </w:p>
    <w:p w:rsidR="00003EF9" w:rsidRPr="00ED7C31" w:rsidRDefault="00003EF9" w:rsidP="00003EF9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6A4908" w:rsidRPr="00ED7C31" w:rsidRDefault="006A4908" w:rsidP="006A4908">
      <w:pPr>
        <w:pStyle w:val="Style4"/>
        <w:shd w:val="clear" w:color="auto" w:fill="auto"/>
        <w:spacing w:before="0" w:after="0" w:line="240" w:lineRule="auto"/>
        <w:ind w:firstLine="709"/>
        <w:rPr>
          <w:b/>
          <w:bCs/>
          <w:sz w:val="30"/>
          <w:szCs w:val="30"/>
        </w:rPr>
      </w:pPr>
      <w:r w:rsidRPr="00ED7C31">
        <w:rPr>
          <w:b/>
          <w:bCs/>
          <w:sz w:val="30"/>
          <w:szCs w:val="30"/>
        </w:rPr>
        <w:t>7. Сведения о рассмотренных альтернативах предлагаемому регулированию.</w:t>
      </w:r>
    </w:p>
    <w:p w:rsidR="008E2499" w:rsidRPr="00ED7C31" w:rsidRDefault="008E2499" w:rsidP="008E24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В ходе работы по подготовке проекта решения Сторонами рассматривалось в качестве альтернативного предложения сохранение действующей редакции таблицы 3 раздела 2.10 единого перечня и Положения.</w:t>
      </w:r>
    </w:p>
    <w:p w:rsidR="006A4908" w:rsidRPr="00ED7C31" w:rsidRDefault="008E2499" w:rsidP="008E24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Однако, по итогам переговоров государств-членов Союза предлагаемое проектом решения регулирование признано оптимальным.</w:t>
      </w:r>
    </w:p>
    <w:p w:rsidR="00161059" w:rsidRPr="00ED7C31" w:rsidRDefault="00161059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8. Нормативно-правовое основание для принятия проекта решения ЕЭК.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Основанием для принятия проекта решения является:</w:t>
      </w:r>
    </w:p>
    <w:p w:rsidR="00D612ED" w:rsidRPr="00ED7C31" w:rsidRDefault="00D612ED" w:rsidP="00D61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7C31">
        <w:rPr>
          <w:rFonts w:ascii="Times New Roman" w:eastAsia="Calibri" w:hAnsi="Times New Roman" w:cs="Times New Roman"/>
          <w:sz w:val="30"/>
          <w:szCs w:val="30"/>
        </w:rPr>
        <w:t>статья 46 Договора о Союзе, предусматривающая в торговле с третьими странами применение единых мер нетарифного регулирования;</w:t>
      </w:r>
    </w:p>
    <w:p w:rsidR="00D612ED" w:rsidRPr="00ED7C31" w:rsidRDefault="00D612ED" w:rsidP="00D612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D7C31">
        <w:rPr>
          <w:rFonts w:ascii="Times New Roman" w:eastAsia="Calibri" w:hAnsi="Times New Roman" w:cs="Times New Roman"/>
          <w:sz w:val="30"/>
          <w:szCs w:val="30"/>
        </w:rPr>
        <w:lastRenderedPageBreak/>
        <w:t>пункты 4 и 37 Протокола определяющие, что решения о введении, применении, продлении и отмене мер нетарифного регулирования принимаются Комиссией</w:t>
      </w:r>
      <w:r w:rsidR="00972347" w:rsidRPr="00ED7C31">
        <w:rPr>
          <w:rFonts w:ascii="Times New Roman" w:eastAsia="Calibri" w:hAnsi="Times New Roman" w:cs="Times New Roman"/>
          <w:sz w:val="30"/>
          <w:szCs w:val="30"/>
        </w:rPr>
        <w:t>;</w:t>
      </w:r>
    </w:p>
    <w:p w:rsidR="006A4908" w:rsidRPr="00ED7C31" w:rsidRDefault="00972347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Решение № 30.</w:t>
      </w:r>
    </w:p>
    <w:p w:rsidR="00972347" w:rsidRPr="00ED7C31" w:rsidRDefault="00972347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9. Сфера полномочий ЕЭК, к которой относится проект решения ЕЭК.</w:t>
      </w:r>
    </w:p>
    <w:p w:rsidR="006A4908" w:rsidRPr="00ED7C31" w:rsidRDefault="006A4908" w:rsidP="006A490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В соответствии с пунктом 3 Положения о Евразийской экономической комиссии (</w:t>
      </w:r>
      <w:r w:rsidR="00C75D1D" w:rsidRPr="00ED7C31">
        <w:rPr>
          <w:rFonts w:ascii="Times New Roman" w:hAnsi="Times New Roman" w:cs="Times New Roman"/>
          <w:sz w:val="30"/>
          <w:szCs w:val="30"/>
        </w:rPr>
        <w:t>п</w:t>
      </w:r>
      <w:r w:rsidRPr="00ED7C31">
        <w:rPr>
          <w:rFonts w:ascii="Times New Roman" w:hAnsi="Times New Roman" w:cs="Times New Roman"/>
          <w:sz w:val="30"/>
          <w:szCs w:val="30"/>
        </w:rPr>
        <w:t xml:space="preserve">риложение № 1 к Договору) Комиссия осуществляет свою деятельность в пределах полномочий, предусмотренных Договором и международными договорами в рамках Союза. </w:t>
      </w:r>
    </w:p>
    <w:p w:rsidR="007F4021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 xml:space="preserve">Проект решения относится к сфере нетарифного регулирования и предусматривает </w:t>
      </w:r>
      <w:r w:rsidR="007F4021" w:rsidRPr="00ED7C31">
        <w:rPr>
          <w:rFonts w:ascii="Times New Roman" w:hAnsi="Times New Roman" w:cs="Times New Roman"/>
          <w:sz w:val="30"/>
          <w:szCs w:val="30"/>
        </w:rPr>
        <w:t>внесение изменений в таблицу 3 раздела 2.10 единого перечня, в Положение (приложение № 14 к Решению № 30) и Правила (приложение № 2 к Положению).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10.</w:t>
      </w:r>
      <w:r w:rsidRPr="00ED7C31">
        <w:rPr>
          <w:rFonts w:ascii="Times New Roman" w:hAnsi="Times New Roman" w:cs="Times New Roman"/>
          <w:bCs/>
          <w:sz w:val="30"/>
          <w:szCs w:val="30"/>
        </w:rPr>
        <w:t> 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t>Финансово-экономические последствия принятия проекта решения ЕЭК для субъектов предпринимательской деятельности.</w:t>
      </w:r>
    </w:p>
    <w:p w:rsidR="007F4021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7C31">
        <w:rPr>
          <w:rFonts w:ascii="Times New Roman" w:hAnsi="Times New Roman" w:cs="Times New Roman"/>
          <w:sz w:val="30"/>
          <w:szCs w:val="30"/>
        </w:rPr>
        <w:t>Принятие проекта решения не повлечет за собой финансово-экономических последствий для бюджетов государств-членов Союза, а также позволит сократить временные и финансовые издержки субъектов предпринимательской деятельности при подготовке документов для прохождения государственного контроля при ввозе (вывозе) на таможенную территорию Союза драгоценных металлов.</w:t>
      </w:r>
    </w:p>
    <w:p w:rsidR="008E2499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 xml:space="preserve">11. Предполагаемые сроки вступления проекта решения ЕЭК 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в силу.</w:t>
      </w: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ED7C31">
        <w:rPr>
          <w:rFonts w:ascii="Times New Roman" w:hAnsi="Times New Roman" w:cs="Times New Roman"/>
          <w:sz w:val="30"/>
          <w:szCs w:val="30"/>
        </w:rPr>
        <w:t xml:space="preserve">Вступление в силу проекта решения предполагается по истечении 30 календарных дней с даты </w:t>
      </w:r>
      <w:r w:rsidRPr="00ED7C31">
        <w:rPr>
          <w:rFonts w:ascii="Times New Roman" w:eastAsia="Calibri" w:hAnsi="Times New Roman" w:cs="Times New Roman"/>
          <w:sz w:val="30"/>
          <w:szCs w:val="30"/>
        </w:rPr>
        <w:t>его официального опубликования</w:t>
      </w:r>
      <w:r w:rsidR="007F4021" w:rsidRPr="00ED7C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  <w:r w:rsidRPr="00ED7C31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:rsidR="008E2499" w:rsidRPr="00ED7C31" w:rsidRDefault="008E249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161059" w:rsidRPr="00ED7C31" w:rsidRDefault="00161059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12. Ожидаемый результат регулирования.</w:t>
      </w:r>
    </w:p>
    <w:p w:rsidR="00D67AB5" w:rsidRPr="00ED7C31" w:rsidRDefault="00972347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П</w:t>
      </w:r>
      <w:r w:rsidR="007F4021" w:rsidRPr="00ED7C31">
        <w:rPr>
          <w:rStyle w:val="CharStyle5"/>
          <w:color w:val="000000"/>
          <w:sz w:val="30"/>
          <w:szCs w:val="30"/>
          <w:lang w:val="ru"/>
        </w:rPr>
        <w:t>ринятие проекта решения</w:t>
      </w:r>
      <w:r w:rsidRPr="00ED7C31">
        <w:rPr>
          <w:rStyle w:val="CharStyle5"/>
          <w:color w:val="000000"/>
          <w:sz w:val="30"/>
          <w:szCs w:val="30"/>
          <w:lang w:val="ru"/>
        </w:rPr>
        <w:t xml:space="preserve"> позволит</w:t>
      </w:r>
      <w:r w:rsidR="00D67AB5" w:rsidRPr="00ED7C31">
        <w:rPr>
          <w:rStyle w:val="CharStyle5"/>
          <w:color w:val="000000"/>
          <w:sz w:val="30"/>
          <w:szCs w:val="30"/>
          <w:lang w:val="ru"/>
        </w:rPr>
        <w:t>:</w:t>
      </w:r>
      <w:r w:rsidR="007F4021" w:rsidRPr="00ED7C31">
        <w:rPr>
          <w:rStyle w:val="CharStyle5"/>
          <w:color w:val="000000"/>
          <w:sz w:val="30"/>
          <w:szCs w:val="30"/>
          <w:lang w:val="ru"/>
        </w:rPr>
        <w:t xml:space="preserve"> </w:t>
      </w:r>
    </w:p>
    <w:p w:rsidR="00443376" w:rsidRPr="00ED7C31" w:rsidRDefault="00443376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создать благоприятные условия для деятельности участников внешнеторговой деятельности</w:t>
      </w:r>
      <w:r w:rsidR="008E2415" w:rsidRPr="00ED7C31">
        <w:rPr>
          <w:rStyle w:val="CharStyle5"/>
          <w:color w:val="000000"/>
          <w:sz w:val="30"/>
          <w:szCs w:val="30"/>
          <w:lang w:val="ru"/>
        </w:rPr>
        <w:t>, которые осуществляют ввоз (вывоз) драгоценных металлов</w:t>
      </w:r>
      <w:r w:rsidRPr="00ED7C31">
        <w:rPr>
          <w:rStyle w:val="CharStyle5"/>
          <w:color w:val="000000"/>
          <w:sz w:val="30"/>
          <w:szCs w:val="30"/>
          <w:lang w:val="ru"/>
        </w:rPr>
        <w:t>;</w:t>
      </w:r>
    </w:p>
    <w:p w:rsidR="00443376" w:rsidRPr="00ED7C31" w:rsidRDefault="00443376" w:rsidP="00972347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  <w:r w:rsidRPr="00ED7C31">
        <w:rPr>
          <w:rStyle w:val="CharStyle5"/>
          <w:color w:val="000000"/>
          <w:sz w:val="30"/>
          <w:szCs w:val="30"/>
          <w:lang w:val="ru"/>
        </w:rPr>
        <w:t>повысить эффективность осуществления государственного контроля за ввозом (вывозом) драгоценных металлов.</w:t>
      </w:r>
    </w:p>
    <w:p w:rsidR="00972347" w:rsidRPr="00ED7C31" w:rsidRDefault="00972347" w:rsidP="006A4908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A56ECC" w:rsidRDefault="00A56ECC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ED7C31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13. Описание опыта государств–членов Евразийского экономического союза и международного опыта регулирования отношений, являющихся предметом проекта решения ЕЭК </w:t>
      </w:r>
      <w:r w:rsidRPr="00ED7C31">
        <w:rPr>
          <w:rFonts w:ascii="Times New Roman" w:hAnsi="Times New Roman" w:cs="Times New Roman"/>
          <w:b/>
          <w:bCs/>
          <w:sz w:val="30"/>
          <w:szCs w:val="30"/>
        </w:rPr>
        <w:br/>
        <w:t>(с обоснованием его прогрессивности и применимости).</w:t>
      </w:r>
    </w:p>
    <w:p w:rsidR="00800184" w:rsidRPr="00ED7C31" w:rsidRDefault="00055F04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D7C31">
        <w:rPr>
          <w:rFonts w:ascii="Times New Roman" w:hAnsi="Times New Roman" w:cs="Times New Roman"/>
          <w:bCs/>
          <w:sz w:val="30"/>
          <w:szCs w:val="30"/>
        </w:rPr>
        <w:t>Опыт в государствах-членах Союза по рассматриваемому вопросу отсутствует.</w:t>
      </w:r>
    </w:p>
    <w:p w:rsidR="00161059" w:rsidRPr="00ED7C31" w:rsidRDefault="00161059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14. Сведения о проведении публичного обсуждения проекта решения ЕЭК.</w:t>
      </w:r>
    </w:p>
    <w:p w:rsidR="003C1DF0" w:rsidRPr="00ED7C31" w:rsidRDefault="003C1DF0" w:rsidP="003C1D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ru-RU"/>
        </w:rPr>
      </w:pP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15. Сведения о заключении об оценке регулирующего воздействия на проект решения ЕЭК.</w:t>
      </w:r>
    </w:p>
    <w:p w:rsidR="006A4908" w:rsidRPr="00ED7C31" w:rsidRDefault="006A4908" w:rsidP="006A49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6A4908" w:rsidRPr="00ED7C31" w:rsidRDefault="006A4908" w:rsidP="006A4908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D7C31">
        <w:rPr>
          <w:rFonts w:ascii="Times New Roman" w:hAnsi="Times New Roman" w:cs="Times New Roman"/>
          <w:b/>
          <w:bCs/>
          <w:sz w:val="30"/>
          <w:szCs w:val="30"/>
        </w:rPr>
        <w:t>16. 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подготовке.</w:t>
      </w:r>
    </w:p>
    <w:p w:rsidR="006A4908" w:rsidRPr="006A4908" w:rsidRDefault="006A4908" w:rsidP="000A6947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</w:rPr>
      </w:pPr>
    </w:p>
    <w:p w:rsidR="006A4908" w:rsidRDefault="006A4908" w:rsidP="000A6947">
      <w:pPr>
        <w:pStyle w:val="Style5"/>
        <w:spacing w:before="0" w:after="0" w:line="240" w:lineRule="auto"/>
        <w:ind w:firstLine="697"/>
        <w:rPr>
          <w:rStyle w:val="CharStyle6"/>
          <w:color w:val="000000"/>
          <w:sz w:val="30"/>
          <w:szCs w:val="30"/>
          <w:lang w:val="ru"/>
        </w:rPr>
      </w:pPr>
    </w:p>
    <w:p w:rsidR="00320D3C" w:rsidRPr="000A6947" w:rsidRDefault="00320D3C" w:rsidP="00320D3C">
      <w:pPr>
        <w:pStyle w:val="Style5"/>
        <w:shd w:val="clear" w:color="auto" w:fill="auto"/>
        <w:spacing w:before="0" w:after="0" w:line="240" w:lineRule="auto"/>
        <w:ind w:firstLine="709"/>
        <w:rPr>
          <w:rStyle w:val="CharStyle5"/>
          <w:color w:val="000000"/>
          <w:sz w:val="30"/>
          <w:szCs w:val="30"/>
          <w:lang w:val="ru"/>
        </w:rPr>
      </w:pPr>
    </w:p>
    <w:p w:rsidR="00320D3C" w:rsidRDefault="00320D3C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p w:rsidR="00320D3C" w:rsidRDefault="00320D3C" w:rsidP="00320D3C">
      <w:pPr>
        <w:pStyle w:val="Style4"/>
        <w:widowControl/>
        <w:shd w:val="clear" w:color="auto" w:fill="auto"/>
        <w:spacing w:before="0" w:after="0" w:line="240" w:lineRule="auto"/>
        <w:ind w:firstLine="709"/>
        <w:rPr>
          <w:rStyle w:val="CharStyle6"/>
          <w:color w:val="000000"/>
          <w:sz w:val="30"/>
          <w:szCs w:val="30"/>
          <w:lang w:val="ru"/>
        </w:rPr>
      </w:pPr>
    </w:p>
    <w:sectPr w:rsidR="00320D3C" w:rsidSect="009C3720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B40" w:rsidRDefault="00EA0B40" w:rsidP="00AB709D">
      <w:pPr>
        <w:spacing w:after="0" w:line="240" w:lineRule="auto"/>
      </w:pPr>
      <w:r>
        <w:separator/>
      </w:r>
    </w:p>
  </w:endnote>
  <w:endnote w:type="continuationSeparator" w:id="0">
    <w:p w:rsidR="00EA0B40" w:rsidRDefault="00EA0B40" w:rsidP="00AB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B40" w:rsidRDefault="00EA0B40" w:rsidP="00AB709D">
      <w:pPr>
        <w:spacing w:after="0" w:line="240" w:lineRule="auto"/>
      </w:pPr>
      <w:r>
        <w:separator/>
      </w:r>
    </w:p>
  </w:footnote>
  <w:footnote w:type="continuationSeparator" w:id="0">
    <w:p w:rsidR="00EA0B40" w:rsidRDefault="00EA0B40" w:rsidP="00AB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0AD" w:rsidRPr="00AB709D" w:rsidRDefault="00E660AD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AB709D">
      <w:rPr>
        <w:rFonts w:ascii="Times New Roman" w:hAnsi="Times New Roman" w:cs="Times New Roman"/>
        <w:sz w:val="28"/>
        <w:szCs w:val="28"/>
      </w:rPr>
      <w:fldChar w:fldCharType="begin"/>
    </w:r>
    <w:r w:rsidRPr="00AB709D">
      <w:rPr>
        <w:rFonts w:ascii="Times New Roman" w:hAnsi="Times New Roman" w:cs="Times New Roman"/>
        <w:sz w:val="28"/>
        <w:szCs w:val="28"/>
      </w:rPr>
      <w:instrText>PAGE   \* MERGEFORMAT</w:instrText>
    </w:r>
    <w:r w:rsidRPr="00AB709D">
      <w:rPr>
        <w:rFonts w:ascii="Times New Roman" w:hAnsi="Times New Roman" w:cs="Times New Roman"/>
        <w:sz w:val="28"/>
        <w:szCs w:val="28"/>
      </w:rPr>
      <w:fldChar w:fldCharType="separate"/>
    </w:r>
    <w:r w:rsidR="00A56ECC">
      <w:rPr>
        <w:rFonts w:ascii="Times New Roman" w:hAnsi="Times New Roman" w:cs="Times New Roman"/>
        <w:noProof/>
        <w:sz w:val="28"/>
        <w:szCs w:val="28"/>
      </w:rPr>
      <w:t>6</w:t>
    </w:r>
    <w:r w:rsidRPr="00AB709D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C0846"/>
    <w:multiLevelType w:val="hybridMultilevel"/>
    <w:tmpl w:val="47D2AD20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24534053"/>
    <w:multiLevelType w:val="hybridMultilevel"/>
    <w:tmpl w:val="C7F21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0343BB"/>
    <w:multiLevelType w:val="hybridMultilevel"/>
    <w:tmpl w:val="51520A98"/>
    <w:lvl w:ilvl="0" w:tplc="AE0C8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8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622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2DB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94E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06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4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107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648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693F70"/>
    <w:multiLevelType w:val="hybridMultilevel"/>
    <w:tmpl w:val="E36093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C1632E"/>
    <w:multiLevelType w:val="hybridMultilevel"/>
    <w:tmpl w:val="790A03E2"/>
    <w:lvl w:ilvl="0" w:tplc="1B8E9480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AF76B9"/>
    <w:multiLevelType w:val="hybridMultilevel"/>
    <w:tmpl w:val="EA2401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10783A"/>
    <w:multiLevelType w:val="multilevel"/>
    <w:tmpl w:val="49940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284C42"/>
    <w:multiLevelType w:val="hybridMultilevel"/>
    <w:tmpl w:val="7C8EE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A994E63"/>
    <w:multiLevelType w:val="hybridMultilevel"/>
    <w:tmpl w:val="8CBC98AC"/>
    <w:lvl w:ilvl="0" w:tplc="4810FF9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7FFC4A5B"/>
    <w:multiLevelType w:val="hybridMultilevel"/>
    <w:tmpl w:val="89FE79CE"/>
    <w:lvl w:ilvl="0" w:tplc="9900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AC"/>
    <w:rsid w:val="00003916"/>
    <w:rsid w:val="00003DDD"/>
    <w:rsid w:val="00003EF9"/>
    <w:rsid w:val="000074FE"/>
    <w:rsid w:val="000139E9"/>
    <w:rsid w:val="00015AAE"/>
    <w:rsid w:val="00023F0B"/>
    <w:rsid w:val="00026055"/>
    <w:rsid w:val="00026F63"/>
    <w:rsid w:val="00036AF8"/>
    <w:rsid w:val="00040667"/>
    <w:rsid w:val="00040A39"/>
    <w:rsid w:val="00041DC1"/>
    <w:rsid w:val="0004619C"/>
    <w:rsid w:val="00047D5F"/>
    <w:rsid w:val="00053552"/>
    <w:rsid w:val="0005531E"/>
    <w:rsid w:val="000553BE"/>
    <w:rsid w:val="00055F04"/>
    <w:rsid w:val="000632BC"/>
    <w:rsid w:val="00064EA4"/>
    <w:rsid w:val="000662E0"/>
    <w:rsid w:val="00067B80"/>
    <w:rsid w:val="0007409D"/>
    <w:rsid w:val="00074370"/>
    <w:rsid w:val="000762F2"/>
    <w:rsid w:val="00076AD8"/>
    <w:rsid w:val="00082664"/>
    <w:rsid w:val="00082B4F"/>
    <w:rsid w:val="000861B0"/>
    <w:rsid w:val="00090DC1"/>
    <w:rsid w:val="00097215"/>
    <w:rsid w:val="000A1CE3"/>
    <w:rsid w:val="000A5524"/>
    <w:rsid w:val="000A59FB"/>
    <w:rsid w:val="000A6947"/>
    <w:rsid w:val="000A7AAF"/>
    <w:rsid w:val="000B243C"/>
    <w:rsid w:val="000B3557"/>
    <w:rsid w:val="000B3A99"/>
    <w:rsid w:val="000C0463"/>
    <w:rsid w:val="000C0FBB"/>
    <w:rsid w:val="000C21F8"/>
    <w:rsid w:val="000C3C62"/>
    <w:rsid w:val="000C75D4"/>
    <w:rsid w:val="000D3130"/>
    <w:rsid w:val="000D666A"/>
    <w:rsid w:val="000D712B"/>
    <w:rsid w:val="000D7DA1"/>
    <w:rsid w:val="000F143F"/>
    <w:rsid w:val="000F3500"/>
    <w:rsid w:val="000F3801"/>
    <w:rsid w:val="000F4F4D"/>
    <w:rsid w:val="000F7C26"/>
    <w:rsid w:val="00101834"/>
    <w:rsid w:val="00106D73"/>
    <w:rsid w:val="001139FD"/>
    <w:rsid w:val="0011464D"/>
    <w:rsid w:val="00121C4C"/>
    <w:rsid w:val="00122B5C"/>
    <w:rsid w:val="00125B1B"/>
    <w:rsid w:val="00126472"/>
    <w:rsid w:val="001272B7"/>
    <w:rsid w:val="00127324"/>
    <w:rsid w:val="00133F75"/>
    <w:rsid w:val="0013677E"/>
    <w:rsid w:val="00136D3E"/>
    <w:rsid w:val="0013788A"/>
    <w:rsid w:val="0014323C"/>
    <w:rsid w:val="00143464"/>
    <w:rsid w:val="00146A34"/>
    <w:rsid w:val="0014767A"/>
    <w:rsid w:val="00150BF0"/>
    <w:rsid w:val="0015348B"/>
    <w:rsid w:val="00157974"/>
    <w:rsid w:val="00161059"/>
    <w:rsid w:val="0016331E"/>
    <w:rsid w:val="001664BE"/>
    <w:rsid w:val="00170CC0"/>
    <w:rsid w:val="001712DD"/>
    <w:rsid w:val="00172629"/>
    <w:rsid w:val="00176EB7"/>
    <w:rsid w:val="001809B7"/>
    <w:rsid w:val="001829FE"/>
    <w:rsid w:val="0019359D"/>
    <w:rsid w:val="001965A4"/>
    <w:rsid w:val="00197558"/>
    <w:rsid w:val="001978CD"/>
    <w:rsid w:val="001A12D2"/>
    <w:rsid w:val="001B02D2"/>
    <w:rsid w:val="001B10D0"/>
    <w:rsid w:val="001B23DF"/>
    <w:rsid w:val="001B2B40"/>
    <w:rsid w:val="001B332F"/>
    <w:rsid w:val="001C039A"/>
    <w:rsid w:val="001C082E"/>
    <w:rsid w:val="001C0BEF"/>
    <w:rsid w:val="001C43A8"/>
    <w:rsid w:val="001C51AB"/>
    <w:rsid w:val="001D15D7"/>
    <w:rsid w:val="001D267E"/>
    <w:rsid w:val="001D4AFD"/>
    <w:rsid w:val="001D4E9E"/>
    <w:rsid w:val="001D61EE"/>
    <w:rsid w:val="001D6AF4"/>
    <w:rsid w:val="001E2B6F"/>
    <w:rsid w:val="001E434F"/>
    <w:rsid w:val="001E6BB2"/>
    <w:rsid w:val="001E793B"/>
    <w:rsid w:val="001E7C61"/>
    <w:rsid w:val="001F15E5"/>
    <w:rsid w:val="001F23BE"/>
    <w:rsid w:val="001F2BF7"/>
    <w:rsid w:val="001F7116"/>
    <w:rsid w:val="001F7C77"/>
    <w:rsid w:val="001F7F24"/>
    <w:rsid w:val="00200D5F"/>
    <w:rsid w:val="00201B4E"/>
    <w:rsid w:val="0020561A"/>
    <w:rsid w:val="00206055"/>
    <w:rsid w:val="0020657A"/>
    <w:rsid w:val="00207889"/>
    <w:rsid w:val="00212BAC"/>
    <w:rsid w:val="00212C55"/>
    <w:rsid w:val="00212E08"/>
    <w:rsid w:val="0022015C"/>
    <w:rsid w:val="00221AD0"/>
    <w:rsid w:val="00223053"/>
    <w:rsid w:val="0022326C"/>
    <w:rsid w:val="0023454E"/>
    <w:rsid w:val="00246701"/>
    <w:rsid w:val="00247B3B"/>
    <w:rsid w:val="00252F0C"/>
    <w:rsid w:val="0025364D"/>
    <w:rsid w:val="0025520F"/>
    <w:rsid w:val="00255F0E"/>
    <w:rsid w:val="002568ED"/>
    <w:rsid w:val="00257623"/>
    <w:rsid w:val="00260A75"/>
    <w:rsid w:val="00261510"/>
    <w:rsid w:val="00262C7B"/>
    <w:rsid w:val="00264347"/>
    <w:rsid w:val="00267627"/>
    <w:rsid w:val="002679E9"/>
    <w:rsid w:val="00272987"/>
    <w:rsid w:val="002734D5"/>
    <w:rsid w:val="00275B95"/>
    <w:rsid w:val="00277B2E"/>
    <w:rsid w:val="00281315"/>
    <w:rsid w:val="00286611"/>
    <w:rsid w:val="002906EA"/>
    <w:rsid w:val="00290B03"/>
    <w:rsid w:val="00290F6C"/>
    <w:rsid w:val="00292113"/>
    <w:rsid w:val="00293454"/>
    <w:rsid w:val="00296720"/>
    <w:rsid w:val="00297825"/>
    <w:rsid w:val="0029793E"/>
    <w:rsid w:val="002979F8"/>
    <w:rsid w:val="002A25F6"/>
    <w:rsid w:val="002A3CB3"/>
    <w:rsid w:val="002A6DCA"/>
    <w:rsid w:val="002B20AA"/>
    <w:rsid w:val="002B308E"/>
    <w:rsid w:val="002B3FA6"/>
    <w:rsid w:val="002B5B64"/>
    <w:rsid w:val="002B70E2"/>
    <w:rsid w:val="002B75CB"/>
    <w:rsid w:val="002C1932"/>
    <w:rsid w:val="002C5F9D"/>
    <w:rsid w:val="002C6733"/>
    <w:rsid w:val="002C6FB9"/>
    <w:rsid w:val="002D0497"/>
    <w:rsid w:val="002D04BE"/>
    <w:rsid w:val="002D5C8F"/>
    <w:rsid w:val="002D6A2F"/>
    <w:rsid w:val="002D75C1"/>
    <w:rsid w:val="002E5CCA"/>
    <w:rsid w:val="002F04EA"/>
    <w:rsid w:val="002F1572"/>
    <w:rsid w:val="002F2008"/>
    <w:rsid w:val="002F25A2"/>
    <w:rsid w:val="002F2A99"/>
    <w:rsid w:val="002F2C3C"/>
    <w:rsid w:val="002F6164"/>
    <w:rsid w:val="00301AF2"/>
    <w:rsid w:val="003029B4"/>
    <w:rsid w:val="003047D1"/>
    <w:rsid w:val="00305841"/>
    <w:rsid w:val="0031088D"/>
    <w:rsid w:val="00312995"/>
    <w:rsid w:val="00312E54"/>
    <w:rsid w:val="003146FE"/>
    <w:rsid w:val="00320D3C"/>
    <w:rsid w:val="00326756"/>
    <w:rsid w:val="00331157"/>
    <w:rsid w:val="00331569"/>
    <w:rsid w:val="003320A1"/>
    <w:rsid w:val="003322B6"/>
    <w:rsid w:val="00334E9D"/>
    <w:rsid w:val="00336D47"/>
    <w:rsid w:val="00341081"/>
    <w:rsid w:val="00341815"/>
    <w:rsid w:val="00342846"/>
    <w:rsid w:val="0034406C"/>
    <w:rsid w:val="003518E9"/>
    <w:rsid w:val="0035718E"/>
    <w:rsid w:val="00362FE8"/>
    <w:rsid w:val="00365840"/>
    <w:rsid w:val="00367471"/>
    <w:rsid w:val="00371DF3"/>
    <w:rsid w:val="003744DA"/>
    <w:rsid w:val="00374A3F"/>
    <w:rsid w:val="00377891"/>
    <w:rsid w:val="00380CA3"/>
    <w:rsid w:val="00380E7E"/>
    <w:rsid w:val="0038397F"/>
    <w:rsid w:val="003868C0"/>
    <w:rsid w:val="003920BE"/>
    <w:rsid w:val="00392AB9"/>
    <w:rsid w:val="00393336"/>
    <w:rsid w:val="00394E7A"/>
    <w:rsid w:val="003A2E8C"/>
    <w:rsid w:val="003A2ED8"/>
    <w:rsid w:val="003A6AE6"/>
    <w:rsid w:val="003A7ACE"/>
    <w:rsid w:val="003B3513"/>
    <w:rsid w:val="003B4A25"/>
    <w:rsid w:val="003B770F"/>
    <w:rsid w:val="003B78B4"/>
    <w:rsid w:val="003C0DFC"/>
    <w:rsid w:val="003C0E86"/>
    <w:rsid w:val="003C1DF0"/>
    <w:rsid w:val="003C2A91"/>
    <w:rsid w:val="003C41FF"/>
    <w:rsid w:val="003C5355"/>
    <w:rsid w:val="003C6314"/>
    <w:rsid w:val="003D013C"/>
    <w:rsid w:val="003D0285"/>
    <w:rsid w:val="003D0D0F"/>
    <w:rsid w:val="003D263A"/>
    <w:rsid w:val="003D3E2E"/>
    <w:rsid w:val="003D3EB6"/>
    <w:rsid w:val="003D5EF1"/>
    <w:rsid w:val="003D67CA"/>
    <w:rsid w:val="003D789E"/>
    <w:rsid w:val="003E025D"/>
    <w:rsid w:val="003E282C"/>
    <w:rsid w:val="003E3337"/>
    <w:rsid w:val="003E365D"/>
    <w:rsid w:val="003E3B0F"/>
    <w:rsid w:val="003E4AFE"/>
    <w:rsid w:val="003E5747"/>
    <w:rsid w:val="003E67B6"/>
    <w:rsid w:val="003E73E0"/>
    <w:rsid w:val="003F0996"/>
    <w:rsid w:val="003F501F"/>
    <w:rsid w:val="003F5750"/>
    <w:rsid w:val="00400487"/>
    <w:rsid w:val="00402EC0"/>
    <w:rsid w:val="004032CD"/>
    <w:rsid w:val="00404B89"/>
    <w:rsid w:val="00407845"/>
    <w:rsid w:val="0041217C"/>
    <w:rsid w:val="00416C69"/>
    <w:rsid w:val="00423D03"/>
    <w:rsid w:val="00427BB7"/>
    <w:rsid w:val="004307EF"/>
    <w:rsid w:val="00434745"/>
    <w:rsid w:val="004402BA"/>
    <w:rsid w:val="00443376"/>
    <w:rsid w:val="0044566B"/>
    <w:rsid w:val="004473D0"/>
    <w:rsid w:val="00447CD5"/>
    <w:rsid w:val="004547F8"/>
    <w:rsid w:val="0045483E"/>
    <w:rsid w:val="004579A9"/>
    <w:rsid w:val="004618E8"/>
    <w:rsid w:val="004647E1"/>
    <w:rsid w:val="00474D32"/>
    <w:rsid w:val="00480945"/>
    <w:rsid w:val="00480967"/>
    <w:rsid w:val="0048109F"/>
    <w:rsid w:val="00482068"/>
    <w:rsid w:val="004832AE"/>
    <w:rsid w:val="00490DC6"/>
    <w:rsid w:val="004A1A64"/>
    <w:rsid w:val="004B0E58"/>
    <w:rsid w:val="004B1439"/>
    <w:rsid w:val="004B20B8"/>
    <w:rsid w:val="004B2900"/>
    <w:rsid w:val="004B44A8"/>
    <w:rsid w:val="004B5EE4"/>
    <w:rsid w:val="004B5F6F"/>
    <w:rsid w:val="004B605C"/>
    <w:rsid w:val="004C0ECF"/>
    <w:rsid w:val="004C3953"/>
    <w:rsid w:val="004C5D1D"/>
    <w:rsid w:val="004C67F7"/>
    <w:rsid w:val="004D367A"/>
    <w:rsid w:val="004D43F6"/>
    <w:rsid w:val="004D4B96"/>
    <w:rsid w:val="004D7DFF"/>
    <w:rsid w:val="004E20B6"/>
    <w:rsid w:val="004E474C"/>
    <w:rsid w:val="004F219C"/>
    <w:rsid w:val="004F2ED7"/>
    <w:rsid w:val="004F537E"/>
    <w:rsid w:val="004F56F6"/>
    <w:rsid w:val="004F574A"/>
    <w:rsid w:val="004F5A3E"/>
    <w:rsid w:val="004F6E43"/>
    <w:rsid w:val="004F6FD0"/>
    <w:rsid w:val="005027DF"/>
    <w:rsid w:val="00506BE8"/>
    <w:rsid w:val="00513946"/>
    <w:rsid w:val="00514E9A"/>
    <w:rsid w:val="00515C0F"/>
    <w:rsid w:val="005165F7"/>
    <w:rsid w:val="00517840"/>
    <w:rsid w:val="00521658"/>
    <w:rsid w:val="00523961"/>
    <w:rsid w:val="00523C50"/>
    <w:rsid w:val="00524F14"/>
    <w:rsid w:val="00530B57"/>
    <w:rsid w:val="005317DA"/>
    <w:rsid w:val="00534023"/>
    <w:rsid w:val="005347D3"/>
    <w:rsid w:val="00543619"/>
    <w:rsid w:val="00550D4E"/>
    <w:rsid w:val="005543A3"/>
    <w:rsid w:val="00554FD9"/>
    <w:rsid w:val="00557334"/>
    <w:rsid w:val="00557C8E"/>
    <w:rsid w:val="00561133"/>
    <w:rsid w:val="00565164"/>
    <w:rsid w:val="00565A13"/>
    <w:rsid w:val="00565A9B"/>
    <w:rsid w:val="005740FF"/>
    <w:rsid w:val="005778EC"/>
    <w:rsid w:val="00583390"/>
    <w:rsid w:val="00583CB7"/>
    <w:rsid w:val="00583F91"/>
    <w:rsid w:val="00587F6E"/>
    <w:rsid w:val="00590C6D"/>
    <w:rsid w:val="00592FFA"/>
    <w:rsid w:val="00593175"/>
    <w:rsid w:val="005931CB"/>
    <w:rsid w:val="00593526"/>
    <w:rsid w:val="005948F4"/>
    <w:rsid w:val="005A0981"/>
    <w:rsid w:val="005A3A27"/>
    <w:rsid w:val="005A4242"/>
    <w:rsid w:val="005A5F44"/>
    <w:rsid w:val="005A6367"/>
    <w:rsid w:val="005A79F8"/>
    <w:rsid w:val="005B0E1B"/>
    <w:rsid w:val="005B16F3"/>
    <w:rsid w:val="005B4991"/>
    <w:rsid w:val="005B4E12"/>
    <w:rsid w:val="005B54B9"/>
    <w:rsid w:val="005B6289"/>
    <w:rsid w:val="005C08F0"/>
    <w:rsid w:val="005C148B"/>
    <w:rsid w:val="005C22D2"/>
    <w:rsid w:val="005C39D6"/>
    <w:rsid w:val="005C5E23"/>
    <w:rsid w:val="005D1B6F"/>
    <w:rsid w:val="005D3B26"/>
    <w:rsid w:val="005E55A5"/>
    <w:rsid w:val="005E5601"/>
    <w:rsid w:val="005F1845"/>
    <w:rsid w:val="005F1BF5"/>
    <w:rsid w:val="005F214D"/>
    <w:rsid w:val="005F4984"/>
    <w:rsid w:val="005F5973"/>
    <w:rsid w:val="00600344"/>
    <w:rsid w:val="0060150C"/>
    <w:rsid w:val="00602B12"/>
    <w:rsid w:val="0061722D"/>
    <w:rsid w:val="0062149C"/>
    <w:rsid w:val="0062200D"/>
    <w:rsid w:val="006223D0"/>
    <w:rsid w:val="0062337B"/>
    <w:rsid w:val="006261B2"/>
    <w:rsid w:val="00626C89"/>
    <w:rsid w:val="00626E21"/>
    <w:rsid w:val="00627819"/>
    <w:rsid w:val="00627ADF"/>
    <w:rsid w:val="006309B4"/>
    <w:rsid w:val="00631772"/>
    <w:rsid w:val="00635682"/>
    <w:rsid w:val="00637B3D"/>
    <w:rsid w:val="00637F48"/>
    <w:rsid w:val="0064234C"/>
    <w:rsid w:val="00642C96"/>
    <w:rsid w:val="0064363A"/>
    <w:rsid w:val="00644BF1"/>
    <w:rsid w:val="006450DF"/>
    <w:rsid w:val="00646481"/>
    <w:rsid w:val="00651010"/>
    <w:rsid w:val="006626D6"/>
    <w:rsid w:val="00665193"/>
    <w:rsid w:val="00667325"/>
    <w:rsid w:val="006704A1"/>
    <w:rsid w:val="00672B0E"/>
    <w:rsid w:val="00675828"/>
    <w:rsid w:val="00675BAF"/>
    <w:rsid w:val="00677172"/>
    <w:rsid w:val="006772EA"/>
    <w:rsid w:val="006832E5"/>
    <w:rsid w:val="006869CA"/>
    <w:rsid w:val="0069078A"/>
    <w:rsid w:val="006914D1"/>
    <w:rsid w:val="0069232B"/>
    <w:rsid w:val="0069372A"/>
    <w:rsid w:val="006953BE"/>
    <w:rsid w:val="00696B52"/>
    <w:rsid w:val="006973FE"/>
    <w:rsid w:val="006A243E"/>
    <w:rsid w:val="006A3193"/>
    <w:rsid w:val="006A4908"/>
    <w:rsid w:val="006A532B"/>
    <w:rsid w:val="006B16BA"/>
    <w:rsid w:val="006B542E"/>
    <w:rsid w:val="006B657D"/>
    <w:rsid w:val="006B7F84"/>
    <w:rsid w:val="006C1B96"/>
    <w:rsid w:val="006C3C71"/>
    <w:rsid w:val="006D038E"/>
    <w:rsid w:val="006D0AE4"/>
    <w:rsid w:val="006D0BE1"/>
    <w:rsid w:val="006D15F0"/>
    <w:rsid w:val="006D5E44"/>
    <w:rsid w:val="006D6289"/>
    <w:rsid w:val="006D63BD"/>
    <w:rsid w:val="006E34D9"/>
    <w:rsid w:val="006E77E2"/>
    <w:rsid w:val="006F23A2"/>
    <w:rsid w:val="006F3662"/>
    <w:rsid w:val="00701E39"/>
    <w:rsid w:val="00704DBC"/>
    <w:rsid w:val="007052E4"/>
    <w:rsid w:val="007121A4"/>
    <w:rsid w:val="00713818"/>
    <w:rsid w:val="00715312"/>
    <w:rsid w:val="00720F84"/>
    <w:rsid w:val="007218F4"/>
    <w:rsid w:val="00722C12"/>
    <w:rsid w:val="00734003"/>
    <w:rsid w:val="00736CCE"/>
    <w:rsid w:val="00741C52"/>
    <w:rsid w:val="0074232A"/>
    <w:rsid w:val="007463E7"/>
    <w:rsid w:val="00746494"/>
    <w:rsid w:val="00747CA2"/>
    <w:rsid w:val="00751223"/>
    <w:rsid w:val="007517B2"/>
    <w:rsid w:val="007534AE"/>
    <w:rsid w:val="0075517D"/>
    <w:rsid w:val="00757D3F"/>
    <w:rsid w:val="00762FF7"/>
    <w:rsid w:val="00765970"/>
    <w:rsid w:val="00767E10"/>
    <w:rsid w:val="00771DF7"/>
    <w:rsid w:val="007745B7"/>
    <w:rsid w:val="00774A07"/>
    <w:rsid w:val="00776B05"/>
    <w:rsid w:val="007776A6"/>
    <w:rsid w:val="00794467"/>
    <w:rsid w:val="00795281"/>
    <w:rsid w:val="0079700A"/>
    <w:rsid w:val="00797071"/>
    <w:rsid w:val="007A6451"/>
    <w:rsid w:val="007A701D"/>
    <w:rsid w:val="007A7E53"/>
    <w:rsid w:val="007A7ECD"/>
    <w:rsid w:val="007B1490"/>
    <w:rsid w:val="007B3B6E"/>
    <w:rsid w:val="007C2212"/>
    <w:rsid w:val="007C2F74"/>
    <w:rsid w:val="007C51FC"/>
    <w:rsid w:val="007C5725"/>
    <w:rsid w:val="007C66BA"/>
    <w:rsid w:val="007D03DB"/>
    <w:rsid w:val="007D0AAD"/>
    <w:rsid w:val="007D294A"/>
    <w:rsid w:val="007D4326"/>
    <w:rsid w:val="007D529F"/>
    <w:rsid w:val="007D6746"/>
    <w:rsid w:val="007D724B"/>
    <w:rsid w:val="007E1BA8"/>
    <w:rsid w:val="007E38F7"/>
    <w:rsid w:val="007E5DDF"/>
    <w:rsid w:val="007E678D"/>
    <w:rsid w:val="007F1638"/>
    <w:rsid w:val="007F1A37"/>
    <w:rsid w:val="007F4021"/>
    <w:rsid w:val="007F5B65"/>
    <w:rsid w:val="007F5FBB"/>
    <w:rsid w:val="007F6E99"/>
    <w:rsid w:val="007F7D83"/>
    <w:rsid w:val="00800184"/>
    <w:rsid w:val="008053AF"/>
    <w:rsid w:val="00807FAB"/>
    <w:rsid w:val="00811272"/>
    <w:rsid w:val="00811820"/>
    <w:rsid w:val="00811A44"/>
    <w:rsid w:val="00823561"/>
    <w:rsid w:val="008239E8"/>
    <w:rsid w:val="008263CE"/>
    <w:rsid w:val="0083208C"/>
    <w:rsid w:val="00834D73"/>
    <w:rsid w:val="0083615B"/>
    <w:rsid w:val="00837129"/>
    <w:rsid w:val="00840CA6"/>
    <w:rsid w:val="008459BC"/>
    <w:rsid w:val="00846408"/>
    <w:rsid w:val="008602CA"/>
    <w:rsid w:val="00860756"/>
    <w:rsid w:val="0086087C"/>
    <w:rsid w:val="0086573C"/>
    <w:rsid w:val="008700B0"/>
    <w:rsid w:val="00873744"/>
    <w:rsid w:val="008737D9"/>
    <w:rsid w:val="00876092"/>
    <w:rsid w:val="00877F8F"/>
    <w:rsid w:val="00883BE2"/>
    <w:rsid w:val="00894CE0"/>
    <w:rsid w:val="008969F0"/>
    <w:rsid w:val="00896F89"/>
    <w:rsid w:val="008A205D"/>
    <w:rsid w:val="008A2B98"/>
    <w:rsid w:val="008A3579"/>
    <w:rsid w:val="008A4A29"/>
    <w:rsid w:val="008B245A"/>
    <w:rsid w:val="008B2840"/>
    <w:rsid w:val="008B38F4"/>
    <w:rsid w:val="008B73A9"/>
    <w:rsid w:val="008C0593"/>
    <w:rsid w:val="008C07A6"/>
    <w:rsid w:val="008C1681"/>
    <w:rsid w:val="008C333A"/>
    <w:rsid w:val="008C41A1"/>
    <w:rsid w:val="008C4B35"/>
    <w:rsid w:val="008C5647"/>
    <w:rsid w:val="008D4C72"/>
    <w:rsid w:val="008E2415"/>
    <w:rsid w:val="008E2499"/>
    <w:rsid w:val="008E3E93"/>
    <w:rsid w:val="008E42BE"/>
    <w:rsid w:val="008E63B5"/>
    <w:rsid w:val="008E63D9"/>
    <w:rsid w:val="008E650E"/>
    <w:rsid w:val="008E78C1"/>
    <w:rsid w:val="008F49F1"/>
    <w:rsid w:val="00900350"/>
    <w:rsid w:val="00902790"/>
    <w:rsid w:val="00911A37"/>
    <w:rsid w:val="0091378D"/>
    <w:rsid w:val="00914C85"/>
    <w:rsid w:val="00922F06"/>
    <w:rsid w:val="009237F7"/>
    <w:rsid w:val="0092479A"/>
    <w:rsid w:val="009254AE"/>
    <w:rsid w:val="00925A75"/>
    <w:rsid w:val="0092747A"/>
    <w:rsid w:val="00931F94"/>
    <w:rsid w:val="00932667"/>
    <w:rsid w:val="009365C6"/>
    <w:rsid w:val="00937CFE"/>
    <w:rsid w:val="00942F9F"/>
    <w:rsid w:val="009438F0"/>
    <w:rsid w:val="00953EBE"/>
    <w:rsid w:val="00955789"/>
    <w:rsid w:val="0096544A"/>
    <w:rsid w:val="009668E6"/>
    <w:rsid w:val="00972347"/>
    <w:rsid w:val="009749C9"/>
    <w:rsid w:val="0097622F"/>
    <w:rsid w:val="00987FA9"/>
    <w:rsid w:val="00991871"/>
    <w:rsid w:val="00992272"/>
    <w:rsid w:val="009929A5"/>
    <w:rsid w:val="00993C29"/>
    <w:rsid w:val="00995EF5"/>
    <w:rsid w:val="009A0207"/>
    <w:rsid w:val="009A4C12"/>
    <w:rsid w:val="009A55ED"/>
    <w:rsid w:val="009B0DF0"/>
    <w:rsid w:val="009B33D6"/>
    <w:rsid w:val="009B4649"/>
    <w:rsid w:val="009B5D0F"/>
    <w:rsid w:val="009C3720"/>
    <w:rsid w:val="009C3C4D"/>
    <w:rsid w:val="009C4502"/>
    <w:rsid w:val="009C4B02"/>
    <w:rsid w:val="009C69EB"/>
    <w:rsid w:val="009C6C13"/>
    <w:rsid w:val="009D3D3F"/>
    <w:rsid w:val="009E235F"/>
    <w:rsid w:val="009E3472"/>
    <w:rsid w:val="009E34EF"/>
    <w:rsid w:val="009E371B"/>
    <w:rsid w:val="009E472E"/>
    <w:rsid w:val="009F5665"/>
    <w:rsid w:val="009F5BB2"/>
    <w:rsid w:val="009F7BEF"/>
    <w:rsid w:val="00A010CF"/>
    <w:rsid w:val="00A01A52"/>
    <w:rsid w:val="00A01C11"/>
    <w:rsid w:val="00A037FF"/>
    <w:rsid w:val="00A05E2A"/>
    <w:rsid w:val="00A13C68"/>
    <w:rsid w:val="00A16405"/>
    <w:rsid w:val="00A218B7"/>
    <w:rsid w:val="00A21EB6"/>
    <w:rsid w:val="00A25199"/>
    <w:rsid w:val="00A311C3"/>
    <w:rsid w:val="00A32894"/>
    <w:rsid w:val="00A37841"/>
    <w:rsid w:val="00A411F0"/>
    <w:rsid w:val="00A43503"/>
    <w:rsid w:val="00A43A7C"/>
    <w:rsid w:val="00A44D2F"/>
    <w:rsid w:val="00A47D60"/>
    <w:rsid w:val="00A50212"/>
    <w:rsid w:val="00A54671"/>
    <w:rsid w:val="00A5571C"/>
    <w:rsid w:val="00A564ED"/>
    <w:rsid w:val="00A56ECC"/>
    <w:rsid w:val="00A57299"/>
    <w:rsid w:val="00A57D8A"/>
    <w:rsid w:val="00A609C9"/>
    <w:rsid w:val="00A61A14"/>
    <w:rsid w:val="00A62236"/>
    <w:rsid w:val="00A63F16"/>
    <w:rsid w:val="00A65012"/>
    <w:rsid w:val="00A65874"/>
    <w:rsid w:val="00A664EF"/>
    <w:rsid w:val="00A66A08"/>
    <w:rsid w:val="00A66D49"/>
    <w:rsid w:val="00A66FC4"/>
    <w:rsid w:val="00A67902"/>
    <w:rsid w:val="00A711E7"/>
    <w:rsid w:val="00A71315"/>
    <w:rsid w:val="00A775D5"/>
    <w:rsid w:val="00A856BE"/>
    <w:rsid w:val="00A86B4D"/>
    <w:rsid w:val="00A9094E"/>
    <w:rsid w:val="00A936D1"/>
    <w:rsid w:val="00A94332"/>
    <w:rsid w:val="00A96E9D"/>
    <w:rsid w:val="00A973D7"/>
    <w:rsid w:val="00AA0DE2"/>
    <w:rsid w:val="00AA4C7F"/>
    <w:rsid w:val="00AA5730"/>
    <w:rsid w:val="00AB035E"/>
    <w:rsid w:val="00AB1181"/>
    <w:rsid w:val="00AB2FAE"/>
    <w:rsid w:val="00AB3A58"/>
    <w:rsid w:val="00AB5664"/>
    <w:rsid w:val="00AB709D"/>
    <w:rsid w:val="00AC0148"/>
    <w:rsid w:val="00AC0C52"/>
    <w:rsid w:val="00AC2EF8"/>
    <w:rsid w:val="00AC4CA0"/>
    <w:rsid w:val="00AC5656"/>
    <w:rsid w:val="00AC588A"/>
    <w:rsid w:val="00AC6B4E"/>
    <w:rsid w:val="00AC6F05"/>
    <w:rsid w:val="00AD445D"/>
    <w:rsid w:val="00AE06C2"/>
    <w:rsid w:val="00AE7355"/>
    <w:rsid w:val="00AF109E"/>
    <w:rsid w:val="00AF2F19"/>
    <w:rsid w:val="00AF3369"/>
    <w:rsid w:val="00B02B4E"/>
    <w:rsid w:val="00B11009"/>
    <w:rsid w:val="00B15A8A"/>
    <w:rsid w:val="00B1735E"/>
    <w:rsid w:val="00B17E7E"/>
    <w:rsid w:val="00B202D0"/>
    <w:rsid w:val="00B2088D"/>
    <w:rsid w:val="00B208B1"/>
    <w:rsid w:val="00B23AC1"/>
    <w:rsid w:val="00B24F28"/>
    <w:rsid w:val="00B308BC"/>
    <w:rsid w:val="00B35676"/>
    <w:rsid w:val="00B36229"/>
    <w:rsid w:val="00B42E02"/>
    <w:rsid w:val="00B44ABB"/>
    <w:rsid w:val="00B46176"/>
    <w:rsid w:val="00B4741D"/>
    <w:rsid w:val="00B52779"/>
    <w:rsid w:val="00B54B85"/>
    <w:rsid w:val="00B57FAE"/>
    <w:rsid w:val="00B605CF"/>
    <w:rsid w:val="00B61718"/>
    <w:rsid w:val="00B625D7"/>
    <w:rsid w:val="00B6753F"/>
    <w:rsid w:val="00B7066D"/>
    <w:rsid w:val="00B745F2"/>
    <w:rsid w:val="00B75604"/>
    <w:rsid w:val="00B7755F"/>
    <w:rsid w:val="00B87CE9"/>
    <w:rsid w:val="00B921B1"/>
    <w:rsid w:val="00B9429E"/>
    <w:rsid w:val="00B9523D"/>
    <w:rsid w:val="00B96699"/>
    <w:rsid w:val="00BA087C"/>
    <w:rsid w:val="00BA0FF3"/>
    <w:rsid w:val="00BA1687"/>
    <w:rsid w:val="00BA22C6"/>
    <w:rsid w:val="00BA2867"/>
    <w:rsid w:val="00BA6187"/>
    <w:rsid w:val="00BB055B"/>
    <w:rsid w:val="00BB1BD7"/>
    <w:rsid w:val="00BB1E05"/>
    <w:rsid w:val="00BB1FBF"/>
    <w:rsid w:val="00BB3186"/>
    <w:rsid w:val="00BB3198"/>
    <w:rsid w:val="00BB3990"/>
    <w:rsid w:val="00BB700E"/>
    <w:rsid w:val="00BC0C34"/>
    <w:rsid w:val="00BC0C50"/>
    <w:rsid w:val="00BD0F1F"/>
    <w:rsid w:val="00BD20ED"/>
    <w:rsid w:val="00BD21AE"/>
    <w:rsid w:val="00BD23A6"/>
    <w:rsid w:val="00BD2743"/>
    <w:rsid w:val="00BD7DD8"/>
    <w:rsid w:val="00BE38E3"/>
    <w:rsid w:val="00BE76FE"/>
    <w:rsid w:val="00BF3B50"/>
    <w:rsid w:val="00BF5AFC"/>
    <w:rsid w:val="00BF5C5E"/>
    <w:rsid w:val="00C00414"/>
    <w:rsid w:val="00C00D7E"/>
    <w:rsid w:val="00C0200F"/>
    <w:rsid w:val="00C02196"/>
    <w:rsid w:val="00C06249"/>
    <w:rsid w:val="00C0640F"/>
    <w:rsid w:val="00C112A7"/>
    <w:rsid w:val="00C11A48"/>
    <w:rsid w:val="00C12885"/>
    <w:rsid w:val="00C15B14"/>
    <w:rsid w:val="00C25137"/>
    <w:rsid w:val="00C26770"/>
    <w:rsid w:val="00C329E3"/>
    <w:rsid w:val="00C34EF3"/>
    <w:rsid w:val="00C36E49"/>
    <w:rsid w:val="00C41DB1"/>
    <w:rsid w:val="00C441E7"/>
    <w:rsid w:val="00C443EE"/>
    <w:rsid w:val="00C44FBD"/>
    <w:rsid w:val="00C50371"/>
    <w:rsid w:val="00C51379"/>
    <w:rsid w:val="00C55306"/>
    <w:rsid w:val="00C55740"/>
    <w:rsid w:val="00C62990"/>
    <w:rsid w:val="00C62B75"/>
    <w:rsid w:val="00C64442"/>
    <w:rsid w:val="00C656BE"/>
    <w:rsid w:val="00C75D1D"/>
    <w:rsid w:val="00C77993"/>
    <w:rsid w:val="00C77EC3"/>
    <w:rsid w:val="00C82831"/>
    <w:rsid w:val="00C85306"/>
    <w:rsid w:val="00C85F59"/>
    <w:rsid w:val="00C86993"/>
    <w:rsid w:val="00C9796B"/>
    <w:rsid w:val="00C97F3E"/>
    <w:rsid w:val="00CA2C55"/>
    <w:rsid w:val="00CA5275"/>
    <w:rsid w:val="00CA5D25"/>
    <w:rsid w:val="00CB202D"/>
    <w:rsid w:val="00CB289D"/>
    <w:rsid w:val="00CC1D7F"/>
    <w:rsid w:val="00CC2E05"/>
    <w:rsid w:val="00CC4D5A"/>
    <w:rsid w:val="00CC5072"/>
    <w:rsid w:val="00CC5682"/>
    <w:rsid w:val="00CC788E"/>
    <w:rsid w:val="00CD74E8"/>
    <w:rsid w:val="00CE358E"/>
    <w:rsid w:val="00CE4573"/>
    <w:rsid w:val="00CE5269"/>
    <w:rsid w:val="00CF10C7"/>
    <w:rsid w:val="00CF1800"/>
    <w:rsid w:val="00CF38DE"/>
    <w:rsid w:val="00CF3E8B"/>
    <w:rsid w:val="00D0107D"/>
    <w:rsid w:val="00D01091"/>
    <w:rsid w:val="00D032B8"/>
    <w:rsid w:val="00D041C4"/>
    <w:rsid w:val="00D05CD5"/>
    <w:rsid w:val="00D11FB2"/>
    <w:rsid w:val="00D12F6E"/>
    <w:rsid w:val="00D138C7"/>
    <w:rsid w:val="00D16B36"/>
    <w:rsid w:val="00D20864"/>
    <w:rsid w:val="00D22B4B"/>
    <w:rsid w:val="00D259C5"/>
    <w:rsid w:val="00D3074A"/>
    <w:rsid w:val="00D30DF7"/>
    <w:rsid w:val="00D30F52"/>
    <w:rsid w:val="00D42FD9"/>
    <w:rsid w:val="00D472CB"/>
    <w:rsid w:val="00D5162B"/>
    <w:rsid w:val="00D51B48"/>
    <w:rsid w:val="00D52113"/>
    <w:rsid w:val="00D5378C"/>
    <w:rsid w:val="00D54896"/>
    <w:rsid w:val="00D54A73"/>
    <w:rsid w:val="00D54EF9"/>
    <w:rsid w:val="00D56032"/>
    <w:rsid w:val="00D612ED"/>
    <w:rsid w:val="00D632C7"/>
    <w:rsid w:val="00D64C36"/>
    <w:rsid w:val="00D673F8"/>
    <w:rsid w:val="00D67AB5"/>
    <w:rsid w:val="00D74392"/>
    <w:rsid w:val="00D81A31"/>
    <w:rsid w:val="00D82974"/>
    <w:rsid w:val="00D85073"/>
    <w:rsid w:val="00D85B24"/>
    <w:rsid w:val="00D87EEE"/>
    <w:rsid w:val="00D90A70"/>
    <w:rsid w:val="00D91188"/>
    <w:rsid w:val="00D91FC3"/>
    <w:rsid w:val="00D9248D"/>
    <w:rsid w:val="00D94D3F"/>
    <w:rsid w:val="00DA0D10"/>
    <w:rsid w:val="00DA2734"/>
    <w:rsid w:val="00DA6A88"/>
    <w:rsid w:val="00DB059A"/>
    <w:rsid w:val="00DB1163"/>
    <w:rsid w:val="00DB1D90"/>
    <w:rsid w:val="00DB4509"/>
    <w:rsid w:val="00DB65E9"/>
    <w:rsid w:val="00DC25B9"/>
    <w:rsid w:val="00DC58B4"/>
    <w:rsid w:val="00DD4174"/>
    <w:rsid w:val="00DD5075"/>
    <w:rsid w:val="00DE1397"/>
    <w:rsid w:val="00DE27B8"/>
    <w:rsid w:val="00DE3DD5"/>
    <w:rsid w:val="00DF15FC"/>
    <w:rsid w:val="00DF169E"/>
    <w:rsid w:val="00DF711C"/>
    <w:rsid w:val="00DF7D10"/>
    <w:rsid w:val="00DF7E45"/>
    <w:rsid w:val="00E0048D"/>
    <w:rsid w:val="00E02A53"/>
    <w:rsid w:val="00E13431"/>
    <w:rsid w:val="00E13CC2"/>
    <w:rsid w:val="00E14409"/>
    <w:rsid w:val="00E20F88"/>
    <w:rsid w:val="00E2176C"/>
    <w:rsid w:val="00E21D29"/>
    <w:rsid w:val="00E2563A"/>
    <w:rsid w:val="00E257FE"/>
    <w:rsid w:val="00E25B09"/>
    <w:rsid w:val="00E2669B"/>
    <w:rsid w:val="00E30FEF"/>
    <w:rsid w:val="00E31DC0"/>
    <w:rsid w:val="00E339AB"/>
    <w:rsid w:val="00E37973"/>
    <w:rsid w:val="00E40724"/>
    <w:rsid w:val="00E41967"/>
    <w:rsid w:val="00E4517D"/>
    <w:rsid w:val="00E46E97"/>
    <w:rsid w:val="00E50135"/>
    <w:rsid w:val="00E5026D"/>
    <w:rsid w:val="00E57F21"/>
    <w:rsid w:val="00E62B6D"/>
    <w:rsid w:val="00E63CA1"/>
    <w:rsid w:val="00E63E54"/>
    <w:rsid w:val="00E660AD"/>
    <w:rsid w:val="00E66C7C"/>
    <w:rsid w:val="00E72271"/>
    <w:rsid w:val="00E73515"/>
    <w:rsid w:val="00E74DBD"/>
    <w:rsid w:val="00E82B3E"/>
    <w:rsid w:val="00E8458A"/>
    <w:rsid w:val="00E866C1"/>
    <w:rsid w:val="00E8779C"/>
    <w:rsid w:val="00E940AE"/>
    <w:rsid w:val="00EA0031"/>
    <w:rsid w:val="00EA0B40"/>
    <w:rsid w:val="00EA14B3"/>
    <w:rsid w:val="00EA3DEC"/>
    <w:rsid w:val="00EA429D"/>
    <w:rsid w:val="00EA5F1B"/>
    <w:rsid w:val="00EA6281"/>
    <w:rsid w:val="00EB1081"/>
    <w:rsid w:val="00EB258A"/>
    <w:rsid w:val="00EB2BAB"/>
    <w:rsid w:val="00EB4F04"/>
    <w:rsid w:val="00EB5780"/>
    <w:rsid w:val="00EB79C3"/>
    <w:rsid w:val="00EC0EF7"/>
    <w:rsid w:val="00EC2991"/>
    <w:rsid w:val="00EC2E99"/>
    <w:rsid w:val="00EC3D02"/>
    <w:rsid w:val="00EC560B"/>
    <w:rsid w:val="00ED1E28"/>
    <w:rsid w:val="00ED7C31"/>
    <w:rsid w:val="00EE1AAF"/>
    <w:rsid w:val="00EE2060"/>
    <w:rsid w:val="00EE4748"/>
    <w:rsid w:val="00EE48DF"/>
    <w:rsid w:val="00EE59B0"/>
    <w:rsid w:val="00EF032E"/>
    <w:rsid w:val="00EF42CC"/>
    <w:rsid w:val="00EF63D8"/>
    <w:rsid w:val="00F00E9D"/>
    <w:rsid w:val="00F03F5E"/>
    <w:rsid w:val="00F0449D"/>
    <w:rsid w:val="00F059B9"/>
    <w:rsid w:val="00F05B15"/>
    <w:rsid w:val="00F1034C"/>
    <w:rsid w:val="00F10ACC"/>
    <w:rsid w:val="00F121B4"/>
    <w:rsid w:val="00F12E75"/>
    <w:rsid w:val="00F13A23"/>
    <w:rsid w:val="00F151C9"/>
    <w:rsid w:val="00F20E6E"/>
    <w:rsid w:val="00F21957"/>
    <w:rsid w:val="00F220B8"/>
    <w:rsid w:val="00F27006"/>
    <w:rsid w:val="00F27337"/>
    <w:rsid w:val="00F31D3D"/>
    <w:rsid w:val="00F32F05"/>
    <w:rsid w:val="00F345AA"/>
    <w:rsid w:val="00F404F1"/>
    <w:rsid w:val="00F40E1A"/>
    <w:rsid w:val="00F4239B"/>
    <w:rsid w:val="00F43706"/>
    <w:rsid w:val="00F44835"/>
    <w:rsid w:val="00F44EDC"/>
    <w:rsid w:val="00F57FC9"/>
    <w:rsid w:val="00F66717"/>
    <w:rsid w:val="00F705AF"/>
    <w:rsid w:val="00F72FAD"/>
    <w:rsid w:val="00F74522"/>
    <w:rsid w:val="00F75269"/>
    <w:rsid w:val="00F768DB"/>
    <w:rsid w:val="00F850AD"/>
    <w:rsid w:val="00F859B0"/>
    <w:rsid w:val="00F8627E"/>
    <w:rsid w:val="00F867CA"/>
    <w:rsid w:val="00F86C8D"/>
    <w:rsid w:val="00F86FF5"/>
    <w:rsid w:val="00F90104"/>
    <w:rsid w:val="00F90AFB"/>
    <w:rsid w:val="00F9145F"/>
    <w:rsid w:val="00F926AD"/>
    <w:rsid w:val="00F94C16"/>
    <w:rsid w:val="00F953CC"/>
    <w:rsid w:val="00F959E0"/>
    <w:rsid w:val="00F97971"/>
    <w:rsid w:val="00FA2CBA"/>
    <w:rsid w:val="00FA2CBD"/>
    <w:rsid w:val="00FA3A51"/>
    <w:rsid w:val="00FA4B28"/>
    <w:rsid w:val="00FA544D"/>
    <w:rsid w:val="00FA579F"/>
    <w:rsid w:val="00FB0679"/>
    <w:rsid w:val="00FB0BB0"/>
    <w:rsid w:val="00FB1803"/>
    <w:rsid w:val="00FB58C6"/>
    <w:rsid w:val="00FB6C6B"/>
    <w:rsid w:val="00FB6D8E"/>
    <w:rsid w:val="00FC1A38"/>
    <w:rsid w:val="00FC4631"/>
    <w:rsid w:val="00FC65F7"/>
    <w:rsid w:val="00FC7BB3"/>
    <w:rsid w:val="00FD09A1"/>
    <w:rsid w:val="00FD25DD"/>
    <w:rsid w:val="00FD34A0"/>
    <w:rsid w:val="00FD4846"/>
    <w:rsid w:val="00FD48D8"/>
    <w:rsid w:val="00FD53F3"/>
    <w:rsid w:val="00FD55F0"/>
    <w:rsid w:val="00FD5F5E"/>
    <w:rsid w:val="00FE4570"/>
    <w:rsid w:val="00FE4A04"/>
    <w:rsid w:val="00FE69C0"/>
    <w:rsid w:val="00FF13A0"/>
    <w:rsid w:val="00FF40A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E95CE5-C5D6-4288-8598-C637A821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AC"/>
    <w:pPr>
      <w:spacing w:after="200" w:line="276" w:lineRule="auto"/>
    </w:pPr>
    <w:rPr>
      <w:rFonts w:ascii="Calibri" w:hAnsi="Calibri" w:cs="Calibri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F032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 w:cs="Times New Roman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C22D2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212BAC"/>
    <w:pPr>
      <w:ind w:left="720"/>
    </w:pPr>
  </w:style>
  <w:style w:type="character" w:customStyle="1" w:styleId="a3">
    <w:name w:val="Основной текст_"/>
    <w:basedOn w:val="a0"/>
    <w:link w:val="10"/>
    <w:uiPriority w:val="99"/>
    <w:locked/>
    <w:rsid w:val="00305841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3"/>
    <w:uiPriority w:val="99"/>
    <w:rsid w:val="00305841"/>
    <w:pPr>
      <w:widowControl w:val="0"/>
      <w:shd w:val="clear" w:color="auto" w:fill="FFFFFF"/>
      <w:spacing w:before="540" w:after="0" w:line="446" w:lineRule="exact"/>
      <w:jc w:val="both"/>
    </w:pPr>
    <w:rPr>
      <w:sz w:val="25"/>
      <w:szCs w:val="25"/>
      <w:lang w:eastAsia="ru-RU"/>
    </w:rPr>
  </w:style>
  <w:style w:type="paragraph" w:styleId="a4">
    <w:name w:val="header"/>
    <w:basedOn w:val="a"/>
    <w:link w:val="a5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B7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B709D"/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Знак Знак1"/>
    <w:basedOn w:val="a"/>
    <w:autoRedefine/>
    <w:uiPriority w:val="99"/>
    <w:rsid w:val="001C5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Style6">
    <w:name w:val="Style6"/>
    <w:basedOn w:val="a"/>
    <w:uiPriority w:val="99"/>
    <w:rsid w:val="001C51AB"/>
    <w:pPr>
      <w:widowControl w:val="0"/>
      <w:autoSpaceDE w:val="0"/>
      <w:autoSpaceDN w:val="0"/>
      <w:adjustRightInd w:val="0"/>
      <w:spacing w:after="0" w:line="238" w:lineRule="exact"/>
      <w:ind w:firstLine="398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110">
    <w:name w:val="Знак Знак11"/>
    <w:basedOn w:val="a"/>
    <w:autoRedefine/>
    <w:uiPriority w:val="99"/>
    <w:rsid w:val="007463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styleId="a8">
    <w:name w:val="Balloon Text"/>
    <w:basedOn w:val="a"/>
    <w:link w:val="a9"/>
    <w:uiPriority w:val="99"/>
    <w:semiHidden/>
    <w:unhideWhenUsed/>
    <w:rsid w:val="0029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B03"/>
    <w:rPr>
      <w:rFonts w:ascii="Tahoma" w:hAnsi="Tahoma" w:cs="Tahoma"/>
      <w:sz w:val="16"/>
      <w:szCs w:val="16"/>
      <w:lang w:eastAsia="en-US"/>
    </w:rPr>
  </w:style>
  <w:style w:type="paragraph" w:customStyle="1" w:styleId="aa">
    <w:name w:val="Таблица"/>
    <w:basedOn w:val="a"/>
    <w:qFormat/>
    <w:rsid w:val="00AF109E"/>
    <w:pPr>
      <w:spacing w:after="0" w:line="360" w:lineRule="auto"/>
      <w:jc w:val="both"/>
    </w:pPr>
    <w:rPr>
      <w:rFonts w:ascii="Times New Roman" w:hAnsi="Times New Roman" w:cs="Times New Roman"/>
      <w:sz w:val="30"/>
      <w:szCs w:val="30"/>
      <w:lang w:eastAsia="ru-RU"/>
    </w:rPr>
  </w:style>
  <w:style w:type="paragraph" w:styleId="ab">
    <w:name w:val="List Paragraph"/>
    <w:basedOn w:val="a"/>
    <w:uiPriority w:val="34"/>
    <w:qFormat/>
    <w:rsid w:val="004D367A"/>
    <w:pPr>
      <w:ind w:left="720"/>
      <w:contextualSpacing/>
    </w:pPr>
  </w:style>
  <w:style w:type="paragraph" w:customStyle="1" w:styleId="Default">
    <w:name w:val="Default"/>
    <w:rsid w:val="004473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5">
    <w:name w:val="Char Style 5"/>
    <w:basedOn w:val="a0"/>
    <w:link w:val="Style4"/>
    <w:rsid w:val="008C4B35"/>
    <w:rPr>
      <w:sz w:val="27"/>
      <w:szCs w:val="27"/>
      <w:shd w:val="clear" w:color="auto" w:fill="FFFFFF"/>
    </w:rPr>
  </w:style>
  <w:style w:type="paragraph" w:customStyle="1" w:styleId="Style4">
    <w:name w:val="Style 4"/>
    <w:basedOn w:val="a"/>
    <w:link w:val="CharStyle5"/>
    <w:rsid w:val="008C4B35"/>
    <w:pPr>
      <w:widowControl w:val="0"/>
      <w:shd w:val="clear" w:color="auto" w:fill="FFFFFF"/>
      <w:spacing w:before="240" w:after="600" w:line="485" w:lineRule="exact"/>
      <w:jc w:val="both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10">
    <w:name w:val="Char Style 10"/>
    <w:basedOn w:val="a0"/>
    <w:link w:val="Style9"/>
    <w:rsid w:val="008C4B35"/>
    <w:rPr>
      <w:sz w:val="27"/>
      <w:szCs w:val="27"/>
      <w:shd w:val="clear" w:color="auto" w:fill="FFFFFF"/>
    </w:rPr>
  </w:style>
  <w:style w:type="paragraph" w:customStyle="1" w:styleId="Style9">
    <w:name w:val="Style 9"/>
    <w:basedOn w:val="a"/>
    <w:link w:val="CharStyle10"/>
    <w:rsid w:val="008C4B35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 w:cs="Times New Roman"/>
      <w:sz w:val="27"/>
      <w:szCs w:val="27"/>
      <w:lang w:eastAsia="ru-RU"/>
    </w:rPr>
  </w:style>
  <w:style w:type="character" w:customStyle="1" w:styleId="CharStyle7">
    <w:name w:val="Char Style 7"/>
    <w:basedOn w:val="a0"/>
    <w:link w:val="Style60"/>
    <w:rsid w:val="00583CB7"/>
    <w:rPr>
      <w:sz w:val="20"/>
      <w:szCs w:val="20"/>
      <w:shd w:val="clear" w:color="auto" w:fill="FFFFFF"/>
    </w:rPr>
  </w:style>
  <w:style w:type="character" w:customStyle="1" w:styleId="CharStyle8">
    <w:name w:val="Char Style 8"/>
    <w:basedOn w:val="CharStyle7"/>
    <w:rsid w:val="00583CB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shd w:val="clear" w:color="auto" w:fill="FFFFFF"/>
    </w:rPr>
  </w:style>
  <w:style w:type="paragraph" w:customStyle="1" w:styleId="Style60">
    <w:name w:val="Style 6"/>
    <w:basedOn w:val="a"/>
    <w:link w:val="CharStyle7"/>
    <w:rsid w:val="00583CB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harStyle6">
    <w:name w:val="Char Style 6"/>
    <w:basedOn w:val="a0"/>
    <w:link w:val="Style5"/>
    <w:rsid w:val="005F1845"/>
    <w:rPr>
      <w:sz w:val="29"/>
      <w:szCs w:val="29"/>
      <w:shd w:val="clear" w:color="auto" w:fill="FFFFFF"/>
    </w:rPr>
  </w:style>
  <w:style w:type="paragraph" w:customStyle="1" w:styleId="Style5">
    <w:name w:val="Style 5"/>
    <w:basedOn w:val="a"/>
    <w:link w:val="CharStyle6"/>
    <w:rsid w:val="005F1845"/>
    <w:pPr>
      <w:widowControl w:val="0"/>
      <w:shd w:val="clear" w:color="auto" w:fill="FFFFFF"/>
      <w:spacing w:before="240" w:after="240" w:line="514" w:lineRule="exact"/>
      <w:jc w:val="both"/>
    </w:pPr>
    <w:rPr>
      <w:rFonts w:ascii="Times New Roman" w:hAnsi="Times New Roman" w:cs="Times New Roman"/>
      <w:sz w:val="29"/>
      <w:szCs w:val="29"/>
      <w:lang w:eastAsia="ru-RU"/>
    </w:rPr>
  </w:style>
  <w:style w:type="character" w:customStyle="1" w:styleId="CharStyle12">
    <w:name w:val="Char Style 12"/>
    <w:basedOn w:val="a0"/>
    <w:link w:val="Style11"/>
    <w:rsid w:val="00BF5AFC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F5AFC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 w:cs="Times New Roman"/>
      <w:sz w:val="27"/>
      <w:szCs w:val="27"/>
      <w:lang w:eastAsia="ru-RU"/>
    </w:rPr>
  </w:style>
  <w:style w:type="paragraph" w:styleId="ac">
    <w:name w:val="Normal (Web)"/>
    <w:basedOn w:val="a"/>
    <w:uiPriority w:val="99"/>
    <w:unhideWhenUsed/>
    <w:rsid w:val="002065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0D712B"/>
    <w:rPr>
      <w:color w:val="0000FF"/>
      <w:u w:val="single"/>
    </w:rPr>
  </w:style>
  <w:style w:type="paragraph" w:customStyle="1" w:styleId="ConsPlusNonformat">
    <w:name w:val="ConsPlusNonformat"/>
    <w:rsid w:val="00EA6281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E257F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E257FE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9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D9FEA-FDA6-480A-B578-4994204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>HOME</Company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СПРАВКА</dc:title>
  <dc:creator>Белявский</dc:creator>
  <cp:lastModifiedBy>Козлюк Игорь Ефимович</cp:lastModifiedBy>
  <cp:revision>2</cp:revision>
  <cp:lastPrinted>2023-12-08T07:20:00Z</cp:lastPrinted>
  <dcterms:created xsi:type="dcterms:W3CDTF">2023-12-08T07:30:00Z</dcterms:created>
  <dcterms:modified xsi:type="dcterms:W3CDTF">2023-12-08T07:30:00Z</dcterms:modified>
</cp:coreProperties>
</file>