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9B261C"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911B73" w:rsidRPr="00911B73">
        <w:rPr>
          <w:rFonts w:ascii="Times New Roman" w:eastAsia="Times New Roman" w:hAnsi="Times New Roman" w:cs="Times New Roman"/>
          <w:snapToGrid w:val="0"/>
          <w:sz w:val="28"/>
          <w:szCs w:val="26"/>
          <w:u w:val="single"/>
        </w:rPr>
        <w:t xml:space="preserve">Об утверждении Порядка </w:t>
      </w:r>
      <w:r w:rsidR="00911B73" w:rsidRPr="00911B73">
        <w:rPr>
          <w:rFonts w:ascii="Times New Roman" w:hAnsi="Times New Roman"/>
          <w:sz w:val="28"/>
          <w:szCs w:val="26"/>
          <w:u w:val="single"/>
        </w:rPr>
        <w:t>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w:t>
      </w:r>
      <w:r w:rsidR="00AC49E7" w:rsidRPr="009B261C">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911B73">
              <w:rPr>
                <w:sz w:val="25"/>
                <w:szCs w:val="25"/>
              </w:rPr>
              <w:t>2</w:t>
            </w:r>
            <w:r w:rsidR="00292A87">
              <w:rPr>
                <w:sz w:val="25"/>
                <w:szCs w:val="25"/>
              </w:rPr>
              <w:t>2</w:t>
            </w:r>
            <w:r w:rsidRPr="003057F6">
              <w:rPr>
                <w:sz w:val="25"/>
                <w:szCs w:val="25"/>
              </w:rPr>
              <w:t>»</w:t>
            </w:r>
            <w:r w:rsidR="008C7934">
              <w:rPr>
                <w:sz w:val="25"/>
                <w:szCs w:val="25"/>
              </w:rPr>
              <w:t xml:space="preserve"> </w:t>
            </w:r>
            <w:r w:rsidR="004B06CA">
              <w:rPr>
                <w:sz w:val="25"/>
                <w:szCs w:val="25"/>
              </w:rPr>
              <w:t>марта</w:t>
            </w:r>
            <w:r w:rsidRPr="003057F6">
              <w:rPr>
                <w:sz w:val="25"/>
                <w:szCs w:val="25"/>
              </w:rPr>
              <w:t xml:space="preserve"> 20</w:t>
            </w:r>
            <w:r w:rsidR="008C7934">
              <w:rPr>
                <w:sz w:val="25"/>
                <w:szCs w:val="25"/>
              </w:rPr>
              <w:t>1</w:t>
            </w:r>
            <w:r w:rsidR="00911B73">
              <w:rPr>
                <w:sz w:val="25"/>
                <w:szCs w:val="25"/>
              </w:rPr>
              <w:t>9</w:t>
            </w:r>
            <w:r w:rsidR="009B261C">
              <w:rPr>
                <w:sz w:val="25"/>
                <w:szCs w:val="25"/>
              </w:rPr>
              <w:t xml:space="preserve"> </w:t>
            </w:r>
            <w:r w:rsidRPr="003057F6">
              <w:rPr>
                <w:sz w:val="25"/>
                <w:szCs w:val="25"/>
              </w:rPr>
              <w:t>г.</w:t>
            </w:r>
          </w:p>
          <w:p w:rsidR="00D3752C" w:rsidRPr="003057F6" w:rsidRDefault="00C30913" w:rsidP="007A2C4D">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4B06CA">
              <w:rPr>
                <w:sz w:val="25"/>
                <w:szCs w:val="25"/>
              </w:rPr>
              <w:t>2</w:t>
            </w:r>
            <w:r w:rsidR="007A2C4D">
              <w:rPr>
                <w:sz w:val="25"/>
                <w:szCs w:val="25"/>
              </w:rPr>
              <w:t>1</w:t>
            </w:r>
            <w:bookmarkStart w:id="0" w:name="_GoBack"/>
            <w:bookmarkEnd w:id="0"/>
            <w:r w:rsidR="00D3752C" w:rsidRPr="003057F6">
              <w:rPr>
                <w:sz w:val="25"/>
                <w:szCs w:val="25"/>
              </w:rPr>
              <w:t>»</w:t>
            </w:r>
            <w:r>
              <w:rPr>
                <w:sz w:val="25"/>
                <w:szCs w:val="25"/>
              </w:rPr>
              <w:t xml:space="preserve"> </w:t>
            </w:r>
            <w:r w:rsidR="004B06CA">
              <w:rPr>
                <w:sz w:val="25"/>
                <w:szCs w:val="25"/>
              </w:rPr>
              <w:t>апреля</w:t>
            </w:r>
            <w:r w:rsidR="00D3752C" w:rsidRPr="003057F6">
              <w:rPr>
                <w:sz w:val="25"/>
                <w:szCs w:val="25"/>
              </w:rPr>
              <w:t xml:space="preserve"> 20</w:t>
            </w:r>
            <w:r w:rsidR="008C7934">
              <w:rPr>
                <w:sz w:val="25"/>
                <w:szCs w:val="25"/>
              </w:rPr>
              <w:t>1</w:t>
            </w:r>
            <w:r w:rsidR="00911B73">
              <w:rPr>
                <w:sz w:val="25"/>
                <w:szCs w:val="25"/>
              </w:rPr>
              <w:t>9</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w:t>
            </w:r>
            <w:r w:rsidR="00911B73">
              <w:rPr>
                <w:sz w:val="26"/>
                <w:szCs w:val="26"/>
                <w:u w:val="single"/>
              </w:rPr>
              <w:t>,</w:t>
            </w:r>
            <w:r w:rsidR="0088546F">
              <w:rPr>
                <w:sz w:val="26"/>
                <w:szCs w:val="26"/>
                <w:u w:val="single"/>
              </w:rPr>
              <w:t xml:space="preserve">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2D" w:rsidRDefault="008B182D" w:rsidP="00D3752C">
      <w:pPr>
        <w:spacing w:after="0" w:line="240" w:lineRule="auto"/>
      </w:pPr>
      <w:r>
        <w:separator/>
      </w:r>
    </w:p>
  </w:endnote>
  <w:endnote w:type="continuationSeparator" w:id="0">
    <w:p w:rsidR="008B182D" w:rsidRDefault="008B182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2D" w:rsidRDefault="008B182D" w:rsidP="00D3752C">
      <w:pPr>
        <w:spacing w:after="0" w:line="240" w:lineRule="auto"/>
      </w:pPr>
      <w:r>
        <w:separator/>
      </w:r>
    </w:p>
  </w:footnote>
  <w:footnote w:type="continuationSeparator" w:id="0">
    <w:p w:rsidR="008B182D" w:rsidRDefault="008B182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A2C4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F6EE0"/>
    <w:rsid w:val="0012769A"/>
    <w:rsid w:val="0013033C"/>
    <w:rsid w:val="001A180D"/>
    <w:rsid w:val="001A5E51"/>
    <w:rsid w:val="001B5698"/>
    <w:rsid w:val="001C165C"/>
    <w:rsid w:val="0022061F"/>
    <w:rsid w:val="00247BE0"/>
    <w:rsid w:val="002511B3"/>
    <w:rsid w:val="002818C2"/>
    <w:rsid w:val="00292A87"/>
    <w:rsid w:val="002C746D"/>
    <w:rsid w:val="00317605"/>
    <w:rsid w:val="00355E96"/>
    <w:rsid w:val="00377A65"/>
    <w:rsid w:val="00391F65"/>
    <w:rsid w:val="00426DDC"/>
    <w:rsid w:val="00441159"/>
    <w:rsid w:val="00470C21"/>
    <w:rsid w:val="004710CE"/>
    <w:rsid w:val="004B06CA"/>
    <w:rsid w:val="004B49BC"/>
    <w:rsid w:val="005024D4"/>
    <w:rsid w:val="00504DBE"/>
    <w:rsid w:val="00584B06"/>
    <w:rsid w:val="00595486"/>
    <w:rsid w:val="005B4F4D"/>
    <w:rsid w:val="005D007E"/>
    <w:rsid w:val="00606527"/>
    <w:rsid w:val="006079CF"/>
    <w:rsid w:val="00633592"/>
    <w:rsid w:val="006361F2"/>
    <w:rsid w:val="006807CD"/>
    <w:rsid w:val="00680A9B"/>
    <w:rsid w:val="00682A11"/>
    <w:rsid w:val="006C2358"/>
    <w:rsid w:val="006F40EB"/>
    <w:rsid w:val="00703388"/>
    <w:rsid w:val="007061A0"/>
    <w:rsid w:val="007124F9"/>
    <w:rsid w:val="007149BC"/>
    <w:rsid w:val="007222C2"/>
    <w:rsid w:val="00746021"/>
    <w:rsid w:val="00750B18"/>
    <w:rsid w:val="0076666A"/>
    <w:rsid w:val="007A2C4D"/>
    <w:rsid w:val="007F35C3"/>
    <w:rsid w:val="00804CBE"/>
    <w:rsid w:val="008277EA"/>
    <w:rsid w:val="0088546F"/>
    <w:rsid w:val="00890B18"/>
    <w:rsid w:val="0089262C"/>
    <w:rsid w:val="008B182D"/>
    <w:rsid w:val="008C7934"/>
    <w:rsid w:val="008E3041"/>
    <w:rsid w:val="008E4BD8"/>
    <w:rsid w:val="009007AB"/>
    <w:rsid w:val="00911B73"/>
    <w:rsid w:val="0091206D"/>
    <w:rsid w:val="00971F08"/>
    <w:rsid w:val="00993E97"/>
    <w:rsid w:val="009B261C"/>
    <w:rsid w:val="00A11E0B"/>
    <w:rsid w:val="00A24129"/>
    <w:rsid w:val="00A30D70"/>
    <w:rsid w:val="00A32C9C"/>
    <w:rsid w:val="00A33DCA"/>
    <w:rsid w:val="00A91DD0"/>
    <w:rsid w:val="00AC49E7"/>
    <w:rsid w:val="00AE5CEA"/>
    <w:rsid w:val="00AF432B"/>
    <w:rsid w:val="00B1076B"/>
    <w:rsid w:val="00B41CF1"/>
    <w:rsid w:val="00B97E53"/>
    <w:rsid w:val="00BB490B"/>
    <w:rsid w:val="00BC6954"/>
    <w:rsid w:val="00BE309D"/>
    <w:rsid w:val="00BE7DB2"/>
    <w:rsid w:val="00C15FBD"/>
    <w:rsid w:val="00C30913"/>
    <w:rsid w:val="00C92B81"/>
    <w:rsid w:val="00C97DF3"/>
    <w:rsid w:val="00CC695D"/>
    <w:rsid w:val="00D10301"/>
    <w:rsid w:val="00D3752C"/>
    <w:rsid w:val="00D46CAA"/>
    <w:rsid w:val="00D547B2"/>
    <w:rsid w:val="00E43B41"/>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2015-11-13T13:01:00Z</cp:lastPrinted>
  <dcterms:created xsi:type="dcterms:W3CDTF">2019-03-22T09:44:00Z</dcterms:created>
  <dcterms:modified xsi:type="dcterms:W3CDTF">2019-03-22T11:33:00Z</dcterms:modified>
</cp:coreProperties>
</file>