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jc w:val="center"/>
        <w:tblInd w:w="-58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  <w:gridCol w:w="5159"/>
      </w:tblGrid>
      <w:tr w:rsidR="00364AB3" w:rsidRPr="009F49FB" w:rsidTr="00B9566E">
        <w:trPr>
          <w:trHeight w:val="1418"/>
          <w:jc w:val="center"/>
        </w:trPr>
        <w:tc>
          <w:tcPr>
            <w:tcW w:w="10004" w:type="dxa"/>
          </w:tcPr>
          <w:p w:rsidR="00364AB3" w:rsidRPr="009F49FB" w:rsidRDefault="00364AB3" w:rsidP="00B9566E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59" w:type="dxa"/>
            <w:hideMark/>
          </w:tcPr>
          <w:p w:rsidR="00364AB3" w:rsidRDefault="00364AB3" w:rsidP="00B9566E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364AB3" w:rsidRPr="005D66ED" w:rsidRDefault="00364AB3" w:rsidP="00B9566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Совета</w:t>
            </w: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A402B3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364AB3" w:rsidRPr="009F49FB" w:rsidRDefault="00364AB3" w:rsidP="00B9566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</w:p>
        </w:tc>
      </w:tr>
    </w:tbl>
    <w:p w:rsidR="00364AB3" w:rsidRDefault="00364AB3" w:rsidP="001A2CB2">
      <w:pPr>
        <w:jc w:val="center"/>
        <w:rPr>
          <w:b/>
          <w:sz w:val="30"/>
          <w:szCs w:val="30"/>
        </w:rPr>
      </w:pPr>
    </w:p>
    <w:p w:rsidR="00364AB3" w:rsidRDefault="00364AB3" w:rsidP="001A2CB2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1A2CB2" w:rsidRPr="001A2CB2" w:rsidRDefault="001A2CB2" w:rsidP="001A2CB2">
      <w:pPr>
        <w:jc w:val="center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 w:rsidRPr="001A2CB2">
        <w:rPr>
          <w:b/>
          <w:sz w:val="30"/>
          <w:szCs w:val="30"/>
        </w:rPr>
        <w:t xml:space="preserve">Позиции, исключаемые из </w:t>
      </w:r>
      <w:r w:rsidRPr="001A2CB2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Перечня</w:t>
      </w:r>
      <w:r w:rsidRPr="001A2CB2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>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 w:rsidR="001A2CB2" w:rsidRDefault="001A2CB2" w:rsidP="001A2CB2"/>
    <w:p w:rsidR="0011702E" w:rsidRDefault="0011702E" w:rsidP="001A2CB2"/>
    <w:tbl>
      <w:tblPr>
        <w:tblW w:w="15167" w:type="dxa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3446"/>
        <w:gridCol w:w="1155"/>
        <w:gridCol w:w="1156"/>
        <w:gridCol w:w="1157"/>
        <w:gridCol w:w="1157"/>
        <w:gridCol w:w="1157"/>
        <w:gridCol w:w="1157"/>
        <w:gridCol w:w="1157"/>
        <w:gridCol w:w="1803"/>
      </w:tblGrid>
      <w:tr w:rsidR="004B35C0" w:rsidRPr="00D36F30" w:rsidTr="006922FB">
        <w:trPr>
          <w:cantSplit/>
          <w:trHeight w:val="20"/>
          <w:tblHeader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36F30" w:rsidRDefault="004B35C0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Код ТН ВЭД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36F30" w:rsidRDefault="004B35C0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5C0" w:rsidRPr="00D36F30" w:rsidRDefault="004B35C0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4B35C0" w:rsidRPr="00D36F30" w:rsidRDefault="004B35C0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4B35C0" w:rsidRPr="00D36F30" w:rsidTr="006922FB">
        <w:trPr>
          <w:cantSplit/>
          <w:trHeight w:val="20"/>
          <w:tblHeader/>
          <w:jc w:val="center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36F30" w:rsidRDefault="004B35C0" w:rsidP="006922F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8914B4" w:rsidRDefault="004B35C0" w:rsidP="006922FB">
            <w:pPr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2015 год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2016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2017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2018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2019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br/>
              <w:t>2020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2021 год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4B35C0" w:rsidRPr="00DD0AEF" w:rsidRDefault="004B35C0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2022 год</w:t>
            </w:r>
          </w:p>
        </w:tc>
      </w:tr>
      <w:tr w:rsidR="005B6B7D" w:rsidRPr="00D36F30" w:rsidTr="001A2CB2">
        <w:trPr>
          <w:cantSplit/>
          <w:trHeight w:val="246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0402 21 170 0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содержанием жира не более 11 мас.%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0402 21 190 0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содержанием жира более 11 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.%, но не более 27 мас.%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1901 10 000 0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детское питание, расфасованное для розничной продажи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03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</w:tr>
      <w:tr w:rsidR="005B6B7D" w:rsidRPr="00D36F30" w:rsidTr="001A2CB2">
        <w:trPr>
          <w:cantSplit/>
          <w:trHeight w:val="529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2309 90 950 0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proofErr w:type="gramStart"/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содержащие</w:t>
            </w:r>
            <w:proofErr w:type="gramEnd"/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 xml:space="preserve"> 49 мас.% или более хлорида холина, на органической или неорганической основе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2309 90 990 0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2807 00 100 0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10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серная кислота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2912 19 100 0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бутаналь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бутиральдегид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, нормальный изомер)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2912 19 900 0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2922 13 100 0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триэтаноламин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3002 10 100 9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3002 10 910 0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гемоглобин, глобулины крови и сывороточные глобулины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3002 10 950 1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факторы свертываемости крови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3002 10 950 9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54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3002 10 990 0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5B6B7D" w:rsidRPr="00B221C2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3004 40 000 2</w:t>
            </w:r>
          </w:p>
        </w:tc>
        <w:tc>
          <w:tcPr>
            <w:tcW w:w="3446" w:type="dxa"/>
            <w:shd w:val="clear" w:color="000000" w:fill="FFFFFF"/>
          </w:tcPr>
          <w:p w:rsidR="005B6B7D" w:rsidRPr="00B221C2" w:rsidRDefault="00627D88" w:rsidP="00627D88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эфедрин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5B6B7D" w:rsidRPr="00B221C2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3004 40 000 3</w:t>
            </w:r>
          </w:p>
        </w:tc>
        <w:tc>
          <w:tcPr>
            <w:tcW w:w="3446" w:type="dxa"/>
            <w:shd w:val="clear" w:color="000000" w:fill="FFFFFF"/>
          </w:tcPr>
          <w:p w:rsidR="005B6B7D" w:rsidRPr="00D36F30" w:rsidRDefault="00627D88" w:rsidP="00627D88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псевдоэфедрин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5B6B7D" w:rsidRPr="00B221C2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3004 40 000 4</w:t>
            </w:r>
          </w:p>
        </w:tc>
        <w:tc>
          <w:tcPr>
            <w:tcW w:w="3446" w:type="dxa"/>
            <w:shd w:val="clear" w:color="000000" w:fill="FFFFFF"/>
          </w:tcPr>
          <w:p w:rsidR="005B6B7D" w:rsidRPr="00D36F30" w:rsidRDefault="00627D88" w:rsidP="00627D88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>норэфедрин</w:t>
            </w:r>
            <w:proofErr w:type="spellEnd"/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5B6B7D" w:rsidRPr="00B221C2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lastRenderedPageBreak/>
              <w:t>3004 40 000 5</w:t>
            </w:r>
          </w:p>
        </w:tc>
        <w:tc>
          <w:tcPr>
            <w:tcW w:w="3446" w:type="dxa"/>
            <w:shd w:val="clear" w:color="000000" w:fill="FFFFFF"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бензоат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натрия или 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ксантинола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никотинат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, или папаверин, или пилокарпин, или теобромин, или теофиллин</w:t>
            </w:r>
          </w:p>
        </w:tc>
        <w:tc>
          <w:tcPr>
            <w:tcW w:w="1155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5B6B7D" w:rsidRPr="00B221C2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3004 40 000 8</w:t>
            </w:r>
          </w:p>
        </w:tc>
        <w:tc>
          <w:tcPr>
            <w:tcW w:w="3446" w:type="dxa"/>
            <w:shd w:val="clear" w:color="000000" w:fill="FFFFFF"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3103 10 100 0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более 35 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 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пентаоксида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дифосфора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3103 10 900 0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5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3104 20 500 0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с содержанием калия в пересчете на К</w:t>
            </w:r>
            <w:r w:rsidR="005B6B7D" w:rsidRPr="00D36F30">
              <w:rPr>
                <w:rFonts w:eastAsia="Times New Roman" w:cs="Times New Roman"/>
                <w:szCs w:val="28"/>
                <w:vertAlign w:val="subscript"/>
                <w:lang w:eastAsia="ru-RU"/>
              </w:rPr>
              <w:t>2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О более 40 </w:t>
            </w:r>
            <w:proofErr w:type="spellStart"/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.%, но не более 62 мас.% в сухом безводном продукте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3104 20 900 0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с содержанием калия в пересчете на К</w:t>
            </w:r>
            <w:r w:rsidR="005B6B7D" w:rsidRPr="00D36F30">
              <w:rPr>
                <w:rFonts w:eastAsia="Times New Roman" w:cs="Times New Roman"/>
                <w:szCs w:val="28"/>
                <w:vertAlign w:val="subscript"/>
                <w:lang w:eastAsia="ru-RU"/>
              </w:rPr>
              <w:t>2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О более 62 мас.% в сухом безводном продукте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3105 20 000 0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210" w:hanging="21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удобрения минеральные или химические, содержащие три питательных элемента: азот, фосфор и калий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3402 20 900 0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моющие и чистящие средства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3402 90 900 0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моющие и чистящие средства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000000" w:fill="FFFFFF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21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3903 90 200 0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полистирол 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бромированный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, содержащий 58 </w:t>
            </w:r>
            <w:proofErr w:type="spellStart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не более 71 мас.% брома, в одной из форм, упомянутых в примечании 6б к данной группе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3904 10 009 9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820C3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820C3" w:rsidRPr="00DD0AEF" w:rsidRDefault="000820C3" w:rsidP="00E853A3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3906 90 300 0</w:t>
            </w:r>
          </w:p>
        </w:tc>
        <w:tc>
          <w:tcPr>
            <w:tcW w:w="3446" w:type="dxa"/>
            <w:shd w:val="clear" w:color="auto" w:fill="auto"/>
          </w:tcPr>
          <w:p w:rsidR="000820C3" w:rsidRPr="00D36F30" w:rsidRDefault="000820C3" w:rsidP="00E853A3">
            <w:pPr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 xml:space="preserve">– – сополимер акриловой кислоты </w:t>
            </w:r>
            <w:r w:rsidRPr="00D36F30">
              <w:rPr>
                <w:rFonts w:eastAsia="Times New Roman" w:cs="Times New Roman"/>
                <w:szCs w:val="28"/>
                <w:lang w:eastAsia="ru-RU"/>
              </w:rPr>
              <w:br/>
              <w:t>2-этилгексилакрилата, содержащий 10 </w:t>
            </w:r>
            <w:proofErr w:type="spellStart"/>
            <w:r w:rsidRPr="00D36F30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Pr="00D36F30">
              <w:rPr>
                <w:rFonts w:eastAsia="Times New Roman" w:cs="Times New Roman"/>
                <w:szCs w:val="28"/>
                <w:lang w:eastAsia="ru-RU"/>
              </w:rPr>
              <w:t>.% или более, но не более 11 </w:t>
            </w:r>
            <w:proofErr w:type="spellStart"/>
            <w:r w:rsidRPr="00D36F30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Pr="00D36F30">
              <w:rPr>
                <w:rFonts w:eastAsia="Times New Roman" w:cs="Times New Roman"/>
                <w:szCs w:val="28"/>
                <w:lang w:eastAsia="ru-RU"/>
              </w:rPr>
              <w:t xml:space="preserve">.% </w:t>
            </w:r>
            <w:r w:rsidRPr="00D36F30">
              <w:rPr>
                <w:rFonts w:eastAsia="Times New Roman" w:cs="Times New Roman"/>
                <w:szCs w:val="28"/>
                <w:lang w:eastAsia="ru-RU"/>
              </w:rPr>
              <w:br/>
              <w:t>2-этилгексилакрилата</w:t>
            </w:r>
          </w:p>
        </w:tc>
        <w:tc>
          <w:tcPr>
            <w:tcW w:w="1155" w:type="dxa"/>
            <w:shd w:val="clear" w:color="auto" w:fill="auto"/>
            <w:noWrap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0820C3" w:rsidRPr="00D36F30" w:rsidRDefault="000820C3" w:rsidP="00E853A3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0820C3" w:rsidRPr="00D36F30" w:rsidRDefault="000820C3" w:rsidP="000820C3">
            <w:pPr>
              <w:spacing w:line="29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820C3" w:rsidRPr="00D36F30" w:rsidRDefault="000820C3" w:rsidP="00E853A3">
            <w:pPr>
              <w:spacing w:line="29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3907 60 800 0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5B6B7D" w:rsidRPr="006665E5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4013 10 000 1</w:t>
            </w:r>
          </w:p>
        </w:tc>
        <w:tc>
          <w:tcPr>
            <w:tcW w:w="3446" w:type="dxa"/>
            <w:shd w:val="clear" w:color="auto" w:fill="auto"/>
          </w:tcPr>
          <w:p w:rsidR="005B6B7D" w:rsidRPr="006665E5" w:rsidRDefault="00627D88" w:rsidP="00627D88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1155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5B6B7D" w:rsidRPr="006665E5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4013 90 000 0</w:t>
            </w:r>
          </w:p>
        </w:tc>
        <w:tc>
          <w:tcPr>
            <w:tcW w:w="3446" w:type="dxa"/>
            <w:shd w:val="clear" w:color="auto" w:fill="auto"/>
          </w:tcPr>
          <w:p w:rsidR="005B6B7D" w:rsidRPr="006665E5" w:rsidRDefault="00627D88" w:rsidP="00627D88">
            <w:pPr>
              <w:spacing w:line="320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665E5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6665E5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13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4407 99 980 1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лесоматериалы, распиленные вдоль, из березы или осины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4418 90 800 0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5111 19 100 0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300 г/м², но не более 450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6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5111 19 900 0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450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87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5111 30 300 0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300 г/м², но не более 450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5112 19 100 0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200 г/м², но не более 375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6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5112 19 900 0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375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5112 30 300 0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поверхностной плотностью более 200 г/м², но не более 375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 xml:space="preserve">5502 00 400 </w:t>
            </w: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>
              <w:rPr>
                <w:rFonts w:eastAsia="Times New Roman" w:cs="Times New Roman"/>
                <w:color w:val="000000"/>
                <w:szCs w:val="28"/>
                <w:lang w:eastAsia="ru-RU"/>
              </w:rPr>
              <w:t>ацетатный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28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6912 00 100 0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из грубой керамики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6912 00 500 0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фаянс или тонкая керамика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5B6B7D" w:rsidRPr="007D38B7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7D38B7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7010 90 450 0</w:t>
            </w:r>
          </w:p>
        </w:tc>
        <w:tc>
          <w:tcPr>
            <w:tcW w:w="3446" w:type="dxa"/>
            <w:shd w:val="clear" w:color="auto" w:fill="auto"/>
          </w:tcPr>
          <w:p w:rsidR="005B6B7D" w:rsidRPr="007D38B7" w:rsidRDefault="00627D88" w:rsidP="00627D88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</w:t>
            </w:r>
            <w:r w:rsidR="005B6B7D" w:rsidRPr="007D38B7">
              <w:rPr>
                <w:rFonts w:eastAsia="Times New Roman" w:cs="Times New Roman"/>
                <w:color w:val="000000"/>
                <w:szCs w:val="28"/>
                <w:lang w:eastAsia="ru-RU"/>
              </w:rPr>
              <w:t>0,15 л или более, но не более 0,33 л</w:t>
            </w:r>
          </w:p>
        </w:tc>
        <w:tc>
          <w:tcPr>
            <w:tcW w:w="1155" w:type="dxa"/>
            <w:shd w:val="clear" w:color="auto" w:fill="auto"/>
            <w:noWrap/>
          </w:tcPr>
          <w:p w:rsidR="005B6B7D" w:rsidRPr="007D38B7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38B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5B6B7D" w:rsidRPr="007D38B7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38B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38B7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7308 90 990 0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7601 20 100 9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7601 20 990 0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8405 10 000 9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прочее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8418 61 001 9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B5193C">
            <w:pPr>
              <w:spacing w:line="300" w:lineRule="exact"/>
              <w:ind w:left="839" w:hanging="83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прочее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8703 23 191 0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рабочим объемом цилиндров двигателя более 1500 см³, но не более 1800 см³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8703 23 192 1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с рабочим объемом цилиндров двигателя более 1800 см³, но не более 2300 см³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8703 23 192 2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8703 23 901 3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8703 23 901 4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5 лет, но не более 7 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8703 23 901 8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8703 23 902 2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29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8703 23 902 3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29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5 лет, но не более 7 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8703 23 902 4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29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8703 23 902 7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29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8703 23 902 8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29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 момента выпуска которых прошло более 5 лет, но не более 7 лет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8703 23 902 9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246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8703 24 109 1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 повышенной проходимости с рабочим объемом цилиндров двигателя более 4200 см</w:t>
            </w:r>
            <w:r w:rsidR="005B6B7D" w:rsidRPr="00D36F30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, поименованные в дополнительном примечании Таможенного союза 6 к данной группе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8703 90 109 1</w:t>
            </w:r>
          </w:p>
        </w:tc>
        <w:tc>
          <w:tcPr>
            <w:tcW w:w="3446" w:type="dxa"/>
            <w:shd w:val="clear" w:color="auto" w:fill="auto"/>
          </w:tcPr>
          <w:p w:rsidR="005B6B7D" w:rsidRPr="00D36F30" w:rsidRDefault="00627D88" w:rsidP="00627D88">
            <w:pPr>
              <w:spacing w:line="300" w:lineRule="exact"/>
              <w:ind w:left="839" w:hanging="83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</w:t>
            </w:r>
            <w:r w:rsidR="005B6B7D" w:rsidRPr="00D36F30">
              <w:rPr>
                <w:rFonts w:eastAsia="Times New Roman" w:cs="Times New Roman"/>
                <w:szCs w:val="28"/>
                <w:lang w:eastAsia="ru-RU"/>
              </w:rPr>
              <w:t>автомобили, содержащие в качестве ходовых исключительно электродвигатели (один или несколько)</w:t>
            </w:r>
          </w:p>
        </w:tc>
        <w:tc>
          <w:tcPr>
            <w:tcW w:w="1155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8703 90 109 9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8703 90 909 0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B6B7D" w:rsidRPr="00D36F30" w:rsidTr="001A2CB2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5B6B7D" w:rsidRPr="00DD0AEF" w:rsidRDefault="005B6B7D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8704 10 101 1</w:t>
            </w:r>
          </w:p>
        </w:tc>
        <w:tc>
          <w:tcPr>
            <w:tcW w:w="3446" w:type="dxa"/>
            <w:shd w:val="clear" w:color="auto" w:fill="auto"/>
            <w:hideMark/>
          </w:tcPr>
          <w:p w:rsidR="005B6B7D" w:rsidRPr="00D36F30" w:rsidRDefault="00627D88" w:rsidP="00627D88">
            <w:pPr>
              <w:spacing w:line="30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5B6B7D"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с шарнирно-сочлененной рамой и полной массой более 45 т, но не более 50 т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5B6B7D" w:rsidRPr="00D36F30" w:rsidRDefault="005B6B7D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5590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2C5590" w:rsidRPr="00DD0AEF" w:rsidRDefault="002C5590" w:rsidP="002C5590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2C559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8704 90 000 1</w:t>
            </w:r>
          </w:p>
        </w:tc>
        <w:tc>
          <w:tcPr>
            <w:tcW w:w="3446" w:type="dxa"/>
            <w:shd w:val="clear" w:color="auto" w:fill="auto"/>
          </w:tcPr>
          <w:p w:rsidR="002C5590" w:rsidRDefault="002C5590" w:rsidP="002C5590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  <w:proofErr w:type="gramEnd"/>
          </w:p>
        </w:tc>
        <w:tc>
          <w:tcPr>
            <w:tcW w:w="1155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DD5E6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5590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2C5590" w:rsidRPr="00DD0AEF" w:rsidRDefault="002C5590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8705 90 900 1</w:t>
            </w:r>
          </w:p>
        </w:tc>
        <w:tc>
          <w:tcPr>
            <w:tcW w:w="3446" w:type="dxa"/>
            <w:shd w:val="clear" w:color="auto" w:fill="auto"/>
            <w:hideMark/>
          </w:tcPr>
          <w:p w:rsidR="002C5590" w:rsidRPr="00D36F30" w:rsidRDefault="002C5590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новые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5590" w:rsidRPr="00D36F30" w:rsidTr="001A2CB2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2C5590" w:rsidRPr="00DD0AEF" w:rsidRDefault="002C5590" w:rsidP="001A2CB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8705 90 900 5</w:t>
            </w:r>
          </w:p>
        </w:tc>
        <w:tc>
          <w:tcPr>
            <w:tcW w:w="3446" w:type="dxa"/>
            <w:shd w:val="clear" w:color="auto" w:fill="auto"/>
            <w:hideMark/>
          </w:tcPr>
          <w:p w:rsidR="002C5590" w:rsidRPr="00D36F30" w:rsidRDefault="002C5590" w:rsidP="00627D88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бывшие в эксплуатации</w:t>
            </w:r>
            <w:proofErr w:type="gramEnd"/>
          </w:p>
        </w:tc>
        <w:tc>
          <w:tcPr>
            <w:tcW w:w="1155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2C5590" w:rsidRPr="00D36F30" w:rsidRDefault="002C5590" w:rsidP="001A2CB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5590" w:rsidRPr="00D36F30" w:rsidTr="001A2CB2">
        <w:trPr>
          <w:cantSplit/>
          <w:trHeight w:val="254"/>
          <w:jc w:val="center"/>
        </w:trPr>
        <w:tc>
          <w:tcPr>
            <w:tcW w:w="1822" w:type="dxa"/>
            <w:shd w:val="clear" w:color="000000" w:fill="FFFFFF"/>
            <w:noWrap/>
          </w:tcPr>
          <w:p w:rsidR="002C5590" w:rsidRPr="00DD0AEF" w:rsidRDefault="002C5590" w:rsidP="00E853A3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8712 00 300 0</w:t>
            </w:r>
          </w:p>
        </w:tc>
        <w:tc>
          <w:tcPr>
            <w:tcW w:w="3446" w:type="dxa"/>
            <w:shd w:val="clear" w:color="000000" w:fill="FFFFFF"/>
          </w:tcPr>
          <w:p w:rsidR="002C5590" w:rsidRPr="00D36F30" w:rsidRDefault="002C5590" w:rsidP="00E853A3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велосипеды двухколесные</w:t>
            </w:r>
          </w:p>
        </w:tc>
        <w:tc>
          <w:tcPr>
            <w:tcW w:w="1155" w:type="dxa"/>
            <w:shd w:val="clear" w:color="000000" w:fill="FFFFFF"/>
            <w:noWrap/>
          </w:tcPr>
          <w:p w:rsidR="002C5590" w:rsidRPr="00D36F30" w:rsidRDefault="002C5590" w:rsidP="00E853A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</w:tcPr>
          <w:p w:rsidR="002C5590" w:rsidRPr="00D36F30" w:rsidRDefault="002C5590" w:rsidP="00E853A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</w:tcPr>
          <w:p w:rsidR="002C5590" w:rsidRPr="00D36F30" w:rsidRDefault="002C5590" w:rsidP="00E853A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</w:tcPr>
          <w:p w:rsidR="002C5590" w:rsidRPr="00D36F30" w:rsidRDefault="002C5590" w:rsidP="00E853A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2C5590" w:rsidRPr="00D36F30" w:rsidRDefault="002C5590" w:rsidP="00E853A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2C5590" w:rsidRPr="00D36F30" w:rsidRDefault="002C5590" w:rsidP="00E853A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2C5590" w:rsidRPr="00D36F30" w:rsidRDefault="002C5590" w:rsidP="00E853A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2C5590" w:rsidRPr="00D36F30" w:rsidRDefault="002C5590" w:rsidP="00E853A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5590" w:rsidRPr="00D36F30" w:rsidTr="001A2CB2">
        <w:trPr>
          <w:cantSplit/>
          <w:trHeight w:val="254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2C5590" w:rsidRPr="00DD0AEF" w:rsidRDefault="002C5590" w:rsidP="001A2CB2">
            <w:pPr>
              <w:spacing w:line="300" w:lineRule="exact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9406 00 310 0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2C5590" w:rsidRPr="00D36F30" w:rsidRDefault="002C5590" w:rsidP="00627D88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теплицы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2C5590" w:rsidRPr="00D36F30" w:rsidRDefault="002C5590" w:rsidP="001A2CB2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D79F2" w:rsidRPr="007B18CF" w:rsidRDefault="004D79F2" w:rsidP="007B18CF"/>
    <w:sectPr w:rsidR="004D79F2" w:rsidRPr="007B18CF" w:rsidSect="0011702E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7F" w:rsidRDefault="009F2D7F" w:rsidP="0011702E">
      <w:r>
        <w:separator/>
      </w:r>
    </w:p>
  </w:endnote>
  <w:endnote w:type="continuationSeparator" w:id="0">
    <w:p w:rsidR="009F2D7F" w:rsidRDefault="009F2D7F" w:rsidP="0011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7F" w:rsidRDefault="009F2D7F" w:rsidP="0011702E">
      <w:r>
        <w:separator/>
      </w:r>
    </w:p>
  </w:footnote>
  <w:footnote w:type="continuationSeparator" w:id="0">
    <w:p w:rsidR="009F2D7F" w:rsidRDefault="009F2D7F" w:rsidP="0011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74576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1702E" w:rsidRPr="0011702E" w:rsidRDefault="0011702E">
        <w:pPr>
          <w:pStyle w:val="a4"/>
          <w:jc w:val="center"/>
          <w:rPr>
            <w:sz w:val="30"/>
            <w:szCs w:val="30"/>
          </w:rPr>
        </w:pPr>
        <w:r w:rsidRPr="0011702E">
          <w:rPr>
            <w:sz w:val="30"/>
            <w:szCs w:val="30"/>
          </w:rPr>
          <w:fldChar w:fldCharType="begin"/>
        </w:r>
        <w:r w:rsidRPr="0011702E">
          <w:rPr>
            <w:sz w:val="30"/>
            <w:szCs w:val="30"/>
          </w:rPr>
          <w:instrText>PAGE   \* MERGEFORMAT</w:instrText>
        </w:r>
        <w:r w:rsidRPr="0011702E">
          <w:rPr>
            <w:sz w:val="30"/>
            <w:szCs w:val="30"/>
          </w:rPr>
          <w:fldChar w:fldCharType="separate"/>
        </w:r>
        <w:r w:rsidR="00364AB3">
          <w:rPr>
            <w:noProof/>
            <w:sz w:val="30"/>
            <w:szCs w:val="30"/>
          </w:rPr>
          <w:t>6</w:t>
        </w:r>
        <w:r w:rsidRPr="0011702E">
          <w:rPr>
            <w:sz w:val="30"/>
            <w:szCs w:val="30"/>
          </w:rPr>
          <w:fldChar w:fldCharType="end"/>
        </w:r>
      </w:p>
    </w:sdtContent>
  </w:sdt>
  <w:p w:rsidR="0011702E" w:rsidRPr="0011702E" w:rsidRDefault="0011702E">
    <w:pPr>
      <w:pStyle w:val="a4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CF"/>
    <w:rsid w:val="000820C3"/>
    <w:rsid w:val="0011702E"/>
    <w:rsid w:val="00125D49"/>
    <w:rsid w:val="001A2CB2"/>
    <w:rsid w:val="0020417A"/>
    <w:rsid w:val="00217E66"/>
    <w:rsid w:val="002C5590"/>
    <w:rsid w:val="00364AB3"/>
    <w:rsid w:val="003D21D3"/>
    <w:rsid w:val="004B35C0"/>
    <w:rsid w:val="004D79F2"/>
    <w:rsid w:val="00594B75"/>
    <w:rsid w:val="005B6B7D"/>
    <w:rsid w:val="00627D88"/>
    <w:rsid w:val="006665E5"/>
    <w:rsid w:val="0079741D"/>
    <w:rsid w:val="007B18CF"/>
    <w:rsid w:val="007D38B7"/>
    <w:rsid w:val="007E344F"/>
    <w:rsid w:val="007E4854"/>
    <w:rsid w:val="009D4104"/>
    <w:rsid w:val="009F2D7F"/>
    <w:rsid w:val="00A20D67"/>
    <w:rsid w:val="00B144B5"/>
    <w:rsid w:val="00B5193C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0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0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17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02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0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0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17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02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Зимина</cp:lastModifiedBy>
  <cp:revision>22</cp:revision>
  <dcterms:created xsi:type="dcterms:W3CDTF">2016-05-25T13:31:00Z</dcterms:created>
  <dcterms:modified xsi:type="dcterms:W3CDTF">2016-08-01T09:16:00Z</dcterms:modified>
</cp:coreProperties>
</file>