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B43E9" w14:textId="35B18E5E" w:rsidR="00EA24EF" w:rsidRPr="001F40A2" w:rsidRDefault="00EA24EF" w:rsidP="00EA24EF">
      <w:pPr>
        <w:spacing w:after="200" w:line="276" w:lineRule="auto"/>
        <w:jc w:val="center"/>
        <w:rPr>
          <w:rFonts w:ascii="Times New Roman" w:hAnsi="Times New Roman"/>
          <w:b/>
          <w:sz w:val="20"/>
          <w:szCs w:val="20"/>
        </w:rPr>
      </w:pPr>
      <w:bookmarkStart w:id="0" w:name="_GoBack"/>
      <w:r w:rsidRPr="00EA24EF">
        <w:rPr>
          <w:rFonts w:ascii="Times New Roman" w:eastAsia="Arial" w:hAnsi="Times New Roman"/>
          <w:b/>
          <w:sz w:val="20"/>
          <w:szCs w:val="20"/>
        </w:rPr>
        <w:t>Предложения и</w:t>
      </w:r>
      <w:bookmarkEnd w:id="0"/>
      <w:r w:rsidRPr="00EA24EF">
        <w:rPr>
          <w:rFonts w:ascii="Times New Roman" w:eastAsia="Arial" w:hAnsi="Times New Roman"/>
          <w:b/>
          <w:sz w:val="20"/>
          <w:szCs w:val="20"/>
        </w:rPr>
        <w:t xml:space="preserve"> замечания к Проекту изменений </w:t>
      </w:r>
      <w:r w:rsidRPr="00EA24EF">
        <w:rPr>
          <w:rStyle w:val="docdata"/>
          <w:rFonts w:ascii="Times New Roman" w:hAnsi="Times New Roman"/>
          <w:b/>
          <w:color w:val="000000"/>
          <w:sz w:val="20"/>
          <w:szCs w:val="20"/>
        </w:rPr>
        <w:t>№1</w:t>
      </w:r>
      <w:r w:rsidRPr="00EA24EF">
        <w:rPr>
          <w:rStyle w:val="docdata"/>
          <w:b/>
          <w:color w:val="000000"/>
          <w:sz w:val="20"/>
          <w:szCs w:val="20"/>
        </w:rPr>
        <w:t xml:space="preserve"> </w:t>
      </w:r>
      <w:r w:rsidRPr="00EA24EF">
        <w:rPr>
          <w:rFonts w:ascii="Times New Roman" w:eastAsia="Arial" w:hAnsi="Times New Roman"/>
          <w:b/>
          <w:sz w:val="20"/>
          <w:szCs w:val="20"/>
        </w:rPr>
        <w:t>в Технический регламент Таможенного союза «О безопасности взрывчатых веществ и изделий на их основе» (</w:t>
      </w:r>
      <w:proofErr w:type="gramStart"/>
      <w:r w:rsidRPr="00EA24EF">
        <w:rPr>
          <w:rFonts w:ascii="Times New Roman" w:eastAsia="Arial" w:hAnsi="Times New Roman"/>
          <w:b/>
          <w:sz w:val="20"/>
          <w:szCs w:val="20"/>
        </w:rPr>
        <w:t>ТР</w:t>
      </w:r>
      <w:proofErr w:type="gramEnd"/>
      <w:r w:rsidRPr="00EA24EF">
        <w:rPr>
          <w:rFonts w:ascii="Times New Roman" w:eastAsia="Arial" w:hAnsi="Times New Roman"/>
          <w:b/>
          <w:sz w:val="20"/>
          <w:szCs w:val="20"/>
        </w:rPr>
        <w:t xml:space="preserve"> ТС 028/2012) в части уточнения отдельных положений технического регламента с учетом практики его применения.</w:t>
      </w:r>
    </w:p>
    <w:tbl>
      <w:tblPr>
        <w:tblStyle w:val="2"/>
        <w:tblW w:w="0" w:type="auto"/>
        <w:jc w:val="center"/>
        <w:tblLook w:val="04A0" w:firstRow="1" w:lastRow="0" w:firstColumn="1" w:lastColumn="0" w:noHBand="0" w:noVBand="1"/>
      </w:tblPr>
      <w:tblGrid>
        <w:gridCol w:w="648"/>
        <w:gridCol w:w="4140"/>
        <w:gridCol w:w="4724"/>
        <w:gridCol w:w="71"/>
      </w:tblGrid>
      <w:tr w:rsidR="004204CD" w:rsidRPr="001F40A2" w14:paraId="345BFEDA" w14:textId="77777777" w:rsidTr="004204CD">
        <w:trPr>
          <w:gridAfter w:val="1"/>
          <w:wAfter w:w="71" w:type="dxa"/>
          <w:jc w:val="center"/>
        </w:trPr>
        <w:tc>
          <w:tcPr>
            <w:tcW w:w="648" w:type="dxa"/>
            <w:vAlign w:val="center"/>
          </w:tcPr>
          <w:p w14:paraId="4B08614B" w14:textId="77777777" w:rsidR="004204CD" w:rsidRPr="001F40A2" w:rsidRDefault="004204CD" w:rsidP="001F40A2">
            <w:pPr>
              <w:spacing w:after="0" w:line="240" w:lineRule="auto"/>
              <w:jc w:val="center"/>
              <w:rPr>
                <w:rFonts w:ascii="Times New Roman" w:hAnsi="Times New Roman"/>
                <w:b/>
                <w:sz w:val="20"/>
                <w:szCs w:val="20"/>
              </w:rPr>
            </w:pPr>
            <w:r w:rsidRPr="001F40A2">
              <w:rPr>
                <w:rFonts w:ascii="Times New Roman" w:hAnsi="Times New Roman"/>
                <w:b/>
                <w:sz w:val="20"/>
                <w:szCs w:val="20"/>
              </w:rPr>
              <w:t>№ п/п</w:t>
            </w:r>
          </w:p>
        </w:tc>
        <w:tc>
          <w:tcPr>
            <w:tcW w:w="4140" w:type="dxa"/>
            <w:vAlign w:val="center"/>
          </w:tcPr>
          <w:p w14:paraId="1B8947B9" w14:textId="77777777" w:rsidR="004204CD" w:rsidRPr="001F40A2" w:rsidRDefault="004204CD" w:rsidP="001F40A2">
            <w:pPr>
              <w:spacing w:after="0" w:line="240" w:lineRule="auto"/>
              <w:jc w:val="center"/>
              <w:rPr>
                <w:rFonts w:ascii="Times New Roman" w:hAnsi="Times New Roman"/>
                <w:b/>
                <w:sz w:val="20"/>
                <w:szCs w:val="20"/>
              </w:rPr>
            </w:pPr>
            <w:r w:rsidRPr="001F40A2">
              <w:rPr>
                <w:rFonts w:ascii="Times New Roman" w:hAnsi="Times New Roman"/>
                <w:b/>
                <w:sz w:val="20"/>
                <w:szCs w:val="20"/>
              </w:rPr>
              <w:t>Изменения, вносимые в технический регламент Таможенного союза</w:t>
            </w:r>
          </w:p>
          <w:p w14:paraId="7C915700" w14:textId="77777777" w:rsidR="004204CD" w:rsidRPr="001F40A2" w:rsidRDefault="004204CD" w:rsidP="001F40A2">
            <w:pPr>
              <w:spacing w:after="0" w:line="240" w:lineRule="auto"/>
              <w:jc w:val="center"/>
              <w:rPr>
                <w:rFonts w:ascii="Times New Roman" w:hAnsi="Times New Roman"/>
                <w:b/>
                <w:sz w:val="20"/>
                <w:szCs w:val="20"/>
              </w:rPr>
            </w:pPr>
            <w:r w:rsidRPr="001F40A2">
              <w:rPr>
                <w:rFonts w:ascii="Times New Roman" w:hAnsi="Times New Roman"/>
                <w:b/>
                <w:sz w:val="20"/>
                <w:szCs w:val="20"/>
              </w:rPr>
              <w:t>«О безопасности взрывчатых веществ и изделий на их основе» (ТР ТС 028/2012)</w:t>
            </w:r>
          </w:p>
        </w:tc>
        <w:tc>
          <w:tcPr>
            <w:tcW w:w="4724" w:type="dxa"/>
            <w:vAlign w:val="center"/>
          </w:tcPr>
          <w:p w14:paraId="6EC3902F" w14:textId="77777777" w:rsidR="004204CD" w:rsidRPr="001F40A2" w:rsidRDefault="004204CD" w:rsidP="001F40A2">
            <w:pPr>
              <w:spacing w:after="0" w:line="240" w:lineRule="auto"/>
              <w:jc w:val="center"/>
              <w:rPr>
                <w:rFonts w:ascii="Times New Roman" w:hAnsi="Times New Roman"/>
                <w:b/>
                <w:sz w:val="20"/>
                <w:szCs w:val="20"/>
              </w:rPr>
            </w:pPr>
            <w:r w:rsidRPr="001F40A2">
              <w:rPr>
                <w:rFonts w:ascii="Times New Roman" w:hAnsi="Times New Roman"/>
                <w:b/>
                <w:sz w:val="20"/>
                <w:szCs w:val="20"/>
              </w:rPr>
              <w:t>Замечание и (или) предложение (отзыв)</w:t>
            </w:r>
          </w:p>
        </w:tc>
      </w:tr>
      <w:tr w:rsidR="004204CD" w:rsidRPr="001F40A2" w14:paraId="6946EBE1" w14:textId="77777777" w:rsidTr="004204CD">
        <w:trPr>
          <w:gridAfter w:val="1"/>
          <w:wAfter w:w="71" w:type="dxa"/>
          <w:jc w:val="center"/>
        </w:trPr>
        <w:tc>
          <w:tcPr>
            <w:tcW w:w="648" w:type="dxa"/>
          </w:tcPr>
          <w:p w14:paraId="484CB5AE"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1</w:t>
            </w:r>
          </w:p>
        </w:tc>
        <w:tc>
          <w:tcPr>
            <w:tcW w:w="4140" w:type="dxa"/>
          </w:tcPr>
          <w:p w14:paraId="41E2AECD"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1. Предисловие исключить.</w:t>
            </w:r>
          </w:p>
        </w:tc>
        <w:tc>
          <w:tcPr>
            <w:tcW w:w="4724" w:type="dxa"/>
          </w:tcPr>
          <w:p w14:paraId="3058B91A"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b/>
                <w:sz w:val="20"/>
                <w:szCs w:val="20"/>
              </w:rPr>
              <w:t>Нет возражений</w:t>
            </w:r>
            <w:r w:rsidRPr="001F40A2">
              <w:rPr>
                <w:rFonts w:ascii="Times New Roman" w:hAnsi="Times New Roman"/>
                <w:sz w:val="20"/>
                <w:szCs w:val="20"/>
              </w:rPr>
              <w:t>, если это не противоречит нормативным и правовым документам ЕЭК, которые определяют структуру технических регламентов ЕАЭС.</w:t>
            </w:r>
          </w:p>
        </w:tc>
      </w:tr>
      <w:tr w:rsidR="004204CD" w:rsidRPr="001F40A2" w14:paraId="47EBEF4E" w14:textId="77777777" w:rsidTr="004204CD">
        <w:trPr>
          <w:gridAfter w:val="1"/>
          <w:wAfter w:w="71" w:type="dxa"/>
          <w:jc w:val="center"/>
        </w:trPr>
        <w:tc>
          <w:tcPr>
            <w:tcW w:w="648" w:type="dxa"/>
          </w:tcPr>
          <w:p w14:paraId="60D40C00"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2</w:t>
            </w:r>
          </w:p>
        </w:tc>
        <w:tc>
          <w:tcPr>
            <w:tcW w:w="4140" w:type="dxa"/>
          </w:tcPr>
          <w:p w14:paraId="41DD401B"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2. В статье 1:</w:t>
            </w:r>
          </w:p>
          <w:p w14:paraId="5FF1190F"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а) перечисление «б» пункта 1 после слов «взрывчатые вещества»</w:t>
            </w:r>
          </w:p>
          <w:p w14:paraId="3F5B38B4"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дополнить словами «и изделия на их основе»;</w:t>
            </w:r>
          </w:p>
          <w:p w14:paraId="299B2C94"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б) перечисление «в» пункта 1 исключить;</w:t>
            </w:r>
          </w:p>
          <w:p w14:paraId="410A05C7"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в) дополнить пунктами 3 и 4 в следующей редакции:</w:t>
            </w:r>
          </w:p>
          <w:p w14:paraId="388C7F3B"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«3. Настоящий технический регламент устанавливает обязательные</w:t>
            </w:r>
          </w:p>
          <w:p w14:paraId="00F9CF68"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для применения и исполнения на таможенной территории Евразийского</w:t>
            </w:r>
          </w:p>
          <w:p w14:paraId="0A967B83"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экономического союза (далее – Союз) требования безопасности</w:t>
            </w:r>
          </w:p>
          <w:p w14:paraId="4A0D02F1"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к взрывчатым веществам и изделиям на их основе, а также к связанным с ними процессам изготовления, применения, хранения, перевозки (транспортирования).</w:t>
            </w:r>
          </w:p>
          <w:p w14:paraId="7036BF49"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4. Если в отношении взрывчатых веществ и изделий на их основе приняты иные технические регламенты Союза (Таможенного союза),</w:t>
            </w:r>
          </w:p>
          <w:p w14:paraId="7F55530B"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устанавливающие требования к взрывчатым веществам и изделиям на их основе, то взрывчатые вещества и изделия на их основе должны соответствовать требованиям всех технических регламентов Союза</w:t>
            </w:r>
          </w:p>
          <w:p w14:paraId="075FD30C"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(Таможенного союза), действие которых на них распространяется.».</w:t>
            </w:r>
          </w:p>
        </w:tc>
        <w:tc>
          <w:tcPr>
            <w:tcW w:w="4724" w:type="dxa"/>
          </w:tcPr>
          <w:p w14:paraId="02302531"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b/>
                <w:sz w:val="20"/>
                <w:szCs w:val="20"/>
              </w:rPr>
              <w:t>Нет возражений</w:t>
            </w:r>
          </w:p>
        </w:tc>
      </w:tr>
      <w:tr w:rsidR="004204CD" w:rsidRPr="001F40A2" w14:paraId="3E295632" w14:textId="77777777" w:rsidTr="004204CD">
        <w:trPr>
          <w:gridAfter w:val="1"/>
          <w:wAfter w:w="71" w:type="dxa"/>
          <w:jc w:val="center"/>
        </w:trPr>
        <w:tc>
          <w:tcPr>
            <w:tcW w:w="648" w:type="dxa"/>
          </w:tcPr>
          <w:p w14:paraId="41486050"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3</w:t>
            </w:r>
          </w:p>
        </w:tc>
        <w:tc>
          <w:tcPr>
            <w:tcW w:w="4140" w:type="dxa"/>
          </w:tcPr>
          <w:p w14:paraId="10A3B794"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3. В статье 2:</w:t>
            </w:r>
          </w:p>
          <w:p w14:paraId="73C66C6C"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а) абзац второй изложить в редакции: «изделие на основе взрывчатого вещества – компактная масса взрывчатого вещества</w:t>
            </w:r>
          </w:p>
          <w:p w14:paraId="1E3A6C43"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конечных размеров, заключенная в оболочку или без нее, предназначенная для использования в изготовленном виде</w:t>
            </w:r>
          </w:p>
          <w:p w14:paraId="425817F0"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самостоятельно или в сочетании с другими взрывчатыми веществами или изделиями на их основе»;</w:t>
            </w:r>
          </w:p>
        </w:tc>
        <w:tc>
          <w:tcPr>
            <w:tcW w:w="4724" w:type="dxa"/>
          </w:tcPr>
          <w:p w14:paraId="489B249C"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b/>
                <w:sz w:val="20"/>
                <w:szCs w:val="20"/>
              </w:rPr>
              <w:t>Нет возражений</w:t>
            </w:r>
          </w:p>
        </w:tc>
      </w:tr>
      <w:tr w:rsidR="004204CD" w:rsidRPr="001F40A2" w14:paraId="3136254F" w14:textId="77777777" w:rsidTr="004204CD">
        <w:trPr>
          <w:gridAfter w:val="1"/>
          <w:wAfter w:w="71" w:type="dxa"/>
          <w:jc w:val="center"/>
        </w:trPr>
        <w:tc>
          <w:tcPr>
            <w:tcW w:w="648" w:type="dxa"/>
          </w:tcPr>
          <w:p w14:paraId="52DC8BAA" w14:textId="77777777" w:rsidR="004204CD" w:rsidRPr="001F40A2" w:rsidRDefault="004204CD" w:rsidP="001F40A2">
            <w:pPr>
              <w:spacing w:after="0" w:line="240" w:lineRule="auto"/>
              <w:rPr>
                <w:rFonts w:ascii="Times New Roman" w:hAnsi="Times New Roman"/>
                <w:sz w:val="20"/>
                <w:szCs w:val="20"/>
              </w:rPr>
            </w:pPr>
          </w:p>
        </w:tc>
        <w:tc>
          <w:tcPr>
            <w:tcW w:w="4140" w:type="dxa"/>
          </w:tcPr>
          <w:p w14:paraId="71E6DEE2"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б) в абзаце седьмом слова «(руководство (инструкция) по применению,  технологический регламент, конструкторская</w:t>
            </w:r>
          </w:p>
          <w:p w14:paraId="4101740B"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документация)» исключить;</w:t>
            </w:r>
          </w:p>
        </w:tc>
        <w:tc>
          <w:tcPr>
            <w:tcW w:w="4724" w:type="dxa"/>
          </w:tcPr>
          <w:p w14:paraId="6FCDB212"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b/>
                <w:sz w:val="20"/>
                <w:szCs w:val="20"/>
              </w:rPr>
              <w:t>Нет возражений, если в конце  седьмого абзаца добавить слова</w:t>
            </w:r>
            <w:r w:rsidRPr="001F40A2">
              <w:rPr>
                <w:rFonts w:ascii="Times New Roman" w:hAnsi="Times New Roman"/>
                <w:sz w:val="20"/>
                <w:szCs w:val="20"/>
              </w:rPr>
              <w:t>: в процессе их жизненного цикла.</w:t>
            </w:r>
          </w:p>
          <w:p w14:paraId="413541D8"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sz w:val="20"/>
                <w:szCs w:val="20"/>
              </w:rPr>
              <w:t>«</w:t>
            </w:r>
            <w:r w:rsidRPr="001F40A2">
              <w:rPr>
                <w:rFonts w:ascii="Times New Roman" w:hAnsi="Times New Roman"/>
                <w:b/>
                <w:sz w:val="20"/>
                <w:szCs w:val="20"/>
              </w:rPr>
              <w:t>техническая документация</w:t>
            </w:r>
            <w:r w:rsidRPr="001F40A2">
              <w:rPr>
                <w:rFonts w:ascii="Times New Roman" w:hAnsi="Times New Roman"/>
                <w:sz w:val="20"/>
                <w:szCs w:val="20"/>
              </w:rPr>
              <w:t xml:space="preserve"> - документы, в которых устанавливаются требования к взрывчатым веществам и изделиям на их основе в процессе их жизненного цикла»</w:t>
            </w:r>
          </w:p>
        </w:tc>
      </w:tr>
      <w:tr w:rsidR="004204CD" w:rsidRPr="001F40A2" w14:paraId="34F3EB99" w14:textId="77777777" w:rsidTr="004204CD">
        <w:trPr>
          <w:gridAfter w:val="1"/>
          <w:wAfter w:w="71" w:type="dxa"/>
          <w:jc w:val="center"/>
        </w:trPr>
        <w:tc>
          <w:tcPr>
            <w:tcW w:w="648" w:type="dxa"/>
          </w:tcPr>
          <w:p w14:paraId="05420286" w14:textId="77777777" w:rsidR="004204CD" w:rsidRPr="001F40A2" w:rsidRDefault="004204CD" w:rsidP="001F40A2">
            <w:pPr>
              <w:spacing w:after="0" w:line="240" w:lineRule="auto"/>
              <w:rPr>
                <w:rFonts w:ascii="Times New Roman" w:hAnsi="Times New Roman"/>
                <w:sz w:val="20"/>
                <w:szCs w:val="20"/>
              </w:rPr>
            </w:pPr>
          </w:p>
        </w:tc>
        <w:tc>
          <w:tcPr>
            <w:tcW w:w="4140" w:type="dxa"/>
          </w:tcPr>
          <w:p w14:paraId="50677258"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sz w:val="20"/>
                <w:szCs w:val="20"/>
              </w:rPr>
              <w:t>г) абзац восьмой после слов «упаковка взрывчатых веществ» дополнить словами «и изделий на их основе»</w:t>
            </w:r>
          </w:p>
        </w:tc>
        <w:tc>
          <w:tcPr>
            <w:tcW w:w="4724" w:type="dxa"/>
          </w:tcPr>
          <w:p w14:paraId="2B9A857E"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b/>
                <w:sz w:val="20"/>
                <w:szCs w:val="20"/>
              </w:rPr>
              <w:t>Нет возражений</w:t>
            </w:r>
          </w:p>
        </w:tc>
      </w:tr>
      <w:tr w:rsidR="004204CD" w:rsidRPr="001F40A2" w14:paraId="45F9B39F" w14:textId="77777777" w:rsidTr="004204CD">
        <w:trPr>
          <w:jc w:val="center"/>
        </w:trPr>
        <w:tc>
          <w:tcPr>
            <w:tcW w:w="648" w:type="dxa"/>
          </w:tcPr>
          <w:p w14:paraId="43ABAEC7" w14:textId="77777777" w:rsidR="004204CD" w:rsidRPr="001F40A2" w:rsidRDefault="004204CD" w:rsidP="001F40A2">
            <w:pPr>
              <w:spacing w:after="0" w:line="240" w:lineRule="auto"/>
              <w:rPr>
                <w:rFonts w:ascii="Times New Roman" w:hAnsi="Times New Roman"/>
                <w:sz w:val="20"/>
                <w:szCs w:val="20"/>
              </w:rPr>
            </w:pPr>
          </w:p>
        </w:tc>
        <w:tc>
          <w:tcPr>
            <w:tcW w:w="4140" w:type="dxa"/>
          </w:tcPr>
          <w:p w14:paraId="2C5CDD90" w14:textId="77777777" w:rsidR="004204CD" w:rsidRPr="001F40A2" w:rsidRDefault="004204CD" w:rsidP="001F40A2">
            <w:pPr>
              <w:spacing w:after="0" w:line="240" w:lineRule="auto"/>
              <w:rPr>
                <w:rFonts w:ascii="Times New Roman" w:hAnsi="Times New Roman"/>
                <w:sz w:val="20"/>
                <w:szCs w:val="20"/>
              </w:rPr>
            </w:pPr>
          </w:p>
        </w:tc>
        <w:tc>
          <w:tcPr>
            <w:tcW w:w="4795" w:type="dxa"/>
            <w:gridSpan w:val="2"/>
          </w:tcPr>
          <w:p w14:paraId="01ACABEB" w14:textId="77777777" w:rsidR="004204CD" w:rsidRPr="001F40A2" w:rsidRDefault="004204CD" w:rsidP="001F40A2">
            <w:pPr>
              <w:spacing w:after="0" w:line="240" w:lineRule="auto"/>
              <w:rPr>
                <w:rFonts w:ascii="Times New Roman" w:hAnsi="Times New Roman"/>
                <w:b/>
                <w:sz w:val="20"/>
                <w:szCs w:val="20"/>
              </w:rPr>
            </w:pPr>
            <w:r w:rsidRPr="001F40A2">
              <w:rPr>
                <w:rFonts w:ascii="Times New Roman" w:hAnsi="Times New Roman"/>
                <w:b/>
                <w:sz w:val="20"/>
                <w:szCs w:val="20"/>
              </w:rPr>
              <w:t xml:space="preserve">Предлагается! </w:t>
            </w:r>
          </w:p>
          <w:p w14:paraId="584BF83D"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Статью 2 дополнить определением:</w:t>
            </w:r>
          </w:p>
          <w:p w14:paraId="757F19E5" w14:textId="77777777" w:rsidR="004204CD" w:rsidRPr="001F40A2" w:rsidRDefault="004204CD" w:rsidP="001F40A2">
            <w:pPr>
              <w:spacing w:after="0" w:line="240" w:lineRule="auto"/>
              <w:jc w:val="both"/>
              <w:rPr>
                <w:rFonts w:ascii="Times New Roman" w:hAnsi="Times New Roman"/>
                <w:b/>
                <w:sz w:val="20"/>
                <w:szCs w:val="20"/>
              </w:rPr>
            </w:pPr>
            <w:r w:rsidRPr="001F40A2">
              <w:rPr>
                <w:rFonts w:ascii="Times New Roman" w:hAnsi="Times New Roman"/>
                <w:b/>
                <w:sz w:val="20"/>
                <w:szCs w:val="20"/>
              </w:rPr>
              <w:lastRenderedPageBreak/>
              <w:t>Собственные нужды – использование взрывчатых веществ и изделий на их основе только для производства продукции, указанной в подпункте а) статьи 1 настоящего технического регламента, без выпуска в обращение за пределы территории предприятия-изготовителя.</w:t>
            </w:r>
          </w:p>
          <w:p w14:paraId="28115FF4"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sz w:val="20"/>
                <w:szCs w:val="20"/>
              </w:rPr>
              <w:t xml:space="preserve">Обоснование: </w:t>
            </w:r>
          </w:p>
          <w:p w14:paraId="3D9ACD90"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sz w:val="20"/>
                <w:szCs w:val="20"/>
              </w:rPr>
              <w:t>Данное условие необходимо с целью однозначного толкования понятия «собственные нужды» всеми участниками оборота взрывчатых веществ и изделий на их основе на территории Союза.</w:t>
            </w:r>
          </w:p>
          <w:p w14:paraId="76CCD072"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sz w:val="20"/>
                <w:szCs w:val="20"/>
              </w:rPr>
              <w:t>Понятие «собственные нужды» официально не закреплено в нормативных документах или правовых актах Союза и его отдельных участников.</w:t>
            </w:r>
          </w:p>
          <w:p w14:paraId="2A659C07"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sz w:val="20"/>
                <w:szCs w:val="20"/>
              </w:rPr>
              <w:t>В Таможенном законодательстве закреплено понятие - Товары для личного пользования.</w:t>
            </w:r>
          </w:p>
          <w:p w14:paraId="171F80B4"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sz w:val="20"/>
                <w:szCs w:val="20"/>
              </w:rPr>
              <w:t>В Налоговом законодательстве встречается понятие - Товары для собственных нужд организации.</w:t>
            </w:r>
          </w:p>
          <w:p w14:paraId="2E9929CC"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sz w:val="20"/>
                <w:szCs w:val="20"/>
              </w:rPr>
              <w:t>Оба эти понятия не приемлят использования относящихся к ним товаров для использования в предпринимательской (коммерческой) деятельности.</w:t>
            </w:r>
          </w:p>
          <w:p w14:paraId="44E5379F"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sz w:val="20"/>
                <w:szCs w:val="20"/>
              </w:rPr>
              <w:t xml:space="preserve">Также в Республике Казахстан есть случаи, когда изготовители взрывчатых веществ осуществляют выпуск в обращение своей продукции и предпринимают попытки ввоза продукции без подтверждения ее соответствия требованиям ТРТС 028/2012, трактуя понятие «собственные нужды» в личных целях, чему свидетельствуют официальные обращения в соответствующие государственные органы республики. </w:t>
            </w:r>
          </w:p>
        </w:tc>
      </w:tr>
      <w:tr w:rsidR="004204CD" w:rsidRPr="001F40A2" w14:paraId="4E04A36E" w14:textId="77777777" w:rsidTr="004204CD">
        <w:trPr>
          <w:jc w:val="center"/>
        </w:trPr>
        <w:tc>
          <w:tcPr>
            <w:tcW w:w="648" w:type="dxa"/>
          </w:tcPr>
          <w:p w14:paraId="176CC3D0" w14:textId="77777777" w:rsidR="004204CD" w:rsidRPr="001F40A2" w:rsidRDefault="004204CD" w:rsidP="001F40A2">
            <w:pPr>
              <w:spacing w:after="0" w:line="240" w:lineRule="auto"/>
              <w:rPr>
                <w:rFonts w:ascii="Times New Roman" w:hAnsi="Times New Roman"/>
                <w:sz w:val="20"/>
                <w:szCs w:val="20"/>
              </w:rPr>
            </w:pPr>
          </w:p>
        </w:tc>
        <w:tc>
          <w:tcPr>
            <w:tcW w:w="4140" w:type="dxa"/>
          </w:tcPr>
          <w:p w14:paraId="42A0CF5D" w14:textId="77777777" w:rsidR="004204CD" w:rsidRPr="001F40A2" w:rsidRDefault="004204CD" w:rsidP="001F40A2">
            <w:pPr>
              <w:spacing w:after="0" w:line="240" w:lineRule="auto"/>
              <w:rPr>
                <w:rFonts w:ascii="Times New Roman" w:hAnsi="Times New Roman"/>
                <w:sz w:val="20"/>
                <w:szCs w:val="20"/>
              </w:rPr>
            </w:pPr>
          </w:p>
        </w:tc>
        <w:tc>
          <w:tcPr>
            <w:tcW w:w="4795" w:type="dxa"/>
            <w:gridSpan w:val="2"/>
          </w:tcPr>
          <w:p w14:paraId="2E400398" w14:textId="77777777" w:rsidR="004204CD" w:rsidRPr="001F40A2" w:rsidRDefault="004204CD" w:rsidP="001F40A2">
            <w:pPr>
              <w:spacing w:after="0" w:line="240" w:lineRule="auto"/>
              <w:rPr>
                <w:rFonts w:ascii="Times New Roman" w:hAnsi="Times New Roman"/>
                <w:b/>
                <w:sz w:val="20"/>
                <w:szCs w:val="20"/>
              </w:rPr>
            </w:pPr>
            <w:r w:rsidRPr="001F40A2">
              <w:rPr>
                <w:rFonts w:ascii="Times New Roman" w:hAnsi="Times New Roman"/>
                <w:b/>
                <w:sz w:val="20"/>
                <w:szCs w:val="20"/>
              </w:rPr>
              <w:t xml:space="preserve">Предлагается! </w:t>
            </w:r>
          </w:p>
          <w:p w14:paraId="68D6ABC4"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Статью 2 дополнить определением:</w:t>
            </w:r>
          </w:p>
          <w:p w14:paraId="0E887E55" w14:textId="77777777" w:rsidR="004204CD" w:rsidRPr="001F40A2" w:rsidRDefault="004204CD" w:rsidP="001F40A2">
            <w:pPr>
              <w:spacing w:after="0" w:line="240" w:lineRule="auto"/>
              <w:rPr>
                <w:rFonts w:ascii="Times New Roman" w:hAnsi="Times New Roman"/>
                <w:b/>
                <w:sz w:val="20"/>
                <w:szCs w:val="20"/>
              </w:rPr>
            </w:pPr>
            <w:r w:rsidRPr="001F40A2">
              <w:rPr>
                <w:rFonts w:ascii="Times New Roman" w:hAnsi="Times New Roman"/>
                <w:b/>
                <w:sz w:val="20"/>
                <w:szCs w:val="20"/>
              </w:rPr>
              <w:t xml:space="preserve">Экспертная организация – не аффилированное с разработчиками и производителями взрывчатых веществ и изделий на их основе юридическое лицо или физическое лицо, зарегистрированное в качестве индивидуального предпринимателя, аттестованное в соответствии с национальным законодательством государства - члена Союза, в котором оно зарегистрировано как субъект предпринимательской деятельности, на право участия при проведении процедуры оформления разрешений на постоянное применение взрывчатых веществ и изделий на их основе, в рамках требований Статьи 6 настоящего Регламента. </w:t>
            </w:r>
          </w:p>
          <w:p w14:paraId="25634D96" w14:textId="77777777" w:rsidR="004204CD" w:rsidRPr="001F40A2" w:rsidRDefault="004204CD" w:rsidP="001F40A2">
            <w:pPr>
              <w:spacing w:after="0" w:line="240" w:lineRule="auto"/>
              <w:rPr>
                <w:rFonts w:ascii="Times New Roman" w:hAnsi="Times New Roman"/>
                <w:b/>
                <w:sz w:val="20"/>
                <w:szCs w:val="20"/>
              </w:rPr>
            </w:pPr>
            <w:r w:rsidRPr="001F40A2">
              <w:rPr>
                <w:rFonts w:ascii="Times New Roman" w:hAnsi="Times New Roman"/>
                <w:b/>
                <w:sz w:val="20"/>
                <w:szCs w:val="20"/>
              </w:rPr>
              <w:t>В соответствии с национальным законодательством государств - членов Союза функции экспертных организаций могут быть возложены на государственные уполномоченные органы и (или) их структурные подразделения.</w:t>
            </w:r>
          </w:p>
        </w:tc>
      </w:tr>
      <w:tr w:rsidR="004204CD" w:rsidRPr="001F40A2" w14:paraId="0B57D4EF" w14:textId="77777777" w:rsidTr="004204CD">
        <w:trPr>
          <w:jc w:val="center"/>
        </w:trPr>
        <w:tc>
          <w:tcPr>
            <w:tcW w:w="648" w:type="dxa"/>
          </w:tcPr>
          <w:p w14:paraId="22FE8250"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4</w:t>
            </w:r>
          </w:p>
        </w:tc>
        <w:tc>
          <w:tcPr>
            <w:tcW w:w="4140" w:type="dxa"/>
          </w:tcPr>
          <w:p w14:paraId="18D9F841"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5. Статью 3 изложить в следующей редакции:</w:t>
            </w:r>
          </w:p>
          <w:p w14:paraId="7D158A22"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Статья 3. Правила обращения взрывчатых веществ и изделий на их основе на рынке Союза</w:t>
            </w:r>
          </w:p>
          <w:p w14:paraId="3E614738"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1. Взрывчатые вещества и изделия на их основе выпускаются в обращение на таможенной территории Союза при условии, что они прошли необходимые процедуры оценки соответствия, установленные</w:t>
            </w:r>
          </w:p>
          <w:p w14:paraId="34F5F567"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 xml:space="preserve">настоящим техническим регламентом, а также другими техническими регламентами Союза (Таможенного союза), действие </w:t>
            </w:r>
            <w:r w:rsidRPr="001F40A2">
              <w:rPr>
                <w:rFonts w:ascii="Times New Roman" w:hAnsi="Times New Roman"/>
                <w:sz w:val="20"/>
                <w:szCs w:val="20"/>
              </w:rPr>
              <w:lastRenderedPageBreak/>
              <w:t>которых на них распространяется.</w:t>
            </w:r>
          </w:p>
          <w:p w14:paraId="5AD443E3"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2. Взрывчатые вещества и изделия на их основе, указанные в подпункте «а» пункта 1 статьи 1 настоящего технического регламента, должны иметь Разрешение на постоянное применение, выданное одним</w:t>
            </w:r>
          </w:p>
          <w:p w14:paraId="1C3D42A5"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из уполномоченных органов в области промышленной безопасности государства – члена Союза.».</w:t>
            </w:r>
          </w:p>
        </w:tc>
        <w:tc>
          <w:tcPr>
            <w:tcW w:w="4795" w:type="dxa"/>
            <w:gridSpan w:val="2"/>
          </w:tcPr>
          <w:p w14:paraId="75326BFC" w14:textId="77777777" w:rsidR="004204CD" w:rsidRPr="001F40A2" w:rsidRDefault="004204CD" w:rsidP="001F40A2">
            <w:pPr>
              <w:spacing w:after="0" w:line="240" w:lineRule="auto"/>
              <w:rPr>
                <w:rFonts w:ascii="Times New Roman" w:hAnsi="Times New Roman"/>
                <w:b/>
                <w:sz w:val="20"/>
                <w:szCs w:val="20"/>
              </w:rPr>
            </w:pPr>
            <w:r w:rsidRPr="001F40A2">
              <w:rPr>
                <w:rFonts w:ascii="Times New Roman" w:hAnsi="Times New Roman"/>
                <w:b/>
                <w:sz w:val="20"/>
                <w:szCs w:val="20"/>
              </w:rPr>
              <w:lastRenderedPageBreak/>
              <w:t>Нет возражений</w:t>
            </w:r>
          </w:p>
          <w:p w14:paraId="2A659DA8" w14:textId="77777777" w:rsidR="004204CD" w:rsidRPr="001F40A2" w:rsidRDefault="004204CD" w:rsidP="001F40A2">
            <w:pPr>
              <w:spacing w:after="0" w:line="240" w:lineRule="auto"/>
              <w:rPr>
                <w:rFonts w:ascii="Times New Roman" w:hAnsi="Times New Roman"/>
                <w:sz w:val="20"/>
                <w:szCs w:val="20"/>
              </w:rPr>
            </w:pPr>
          </w:p>
        </w:tc>
      </w:tr>
      <w:tr w:rsidR="004204CD" w:rsidRPr="001F40A2" w14:paraId="19B3C0CD" w14:textId="77777777" w:rsidTr="004204CD">
        <w:trPr>
          <w:jc w:val="center"/>
        </w:trPr>
        <w:tc>
          <w:tcPr>
            <w:tcW w:w="648" w:type="dxa"/>
          </w:tcPr>
          <w:p w14:paraId="43908574"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lastRenderedPageBreak/>
              <w:t>5</w:t>
            </w:r>
          </w:p>
        </w:tc>
        <w:tc>
          <w:tcPr>
            <w:tcW w:w="4140" w:type="dxa"/>
          </w:tcPr>
          <w:p w14:paraId="1A5C8890"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6. Статью 4 изложить в следующей редакции:</w:t>
            </w:r>
          </w:p>
          <w:p w14:paraId="6AEFB27C"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«Статья 4. Маркировка</w:t>
            </w:r>
          </w:p>
          <w:p w14:paraId="089F2567"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1. Маркировка изделий на основе взрывчатых веществ должна включать:</w:t>
            </w:r>
          </w:p>
          <w:p w14:paraId="5C6A988A"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наименование (условное обозначение) изделия;</w:t>
            </w:r>
          </w:p>
          <w:p w14:paraId="006AC1D9"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наименование предприятия-изготовителя (поставщика и (или) импортера), а также товарный знак (при его наличии);</w:t>
            </w:r>
          </w:p>
          <w:p w14:paraId="1A9B61E6"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классификационные обозначения в соответствии с приложениями</w:t>
            </w:r>
          </w:p>
          <w:p w14:paraId="560773A5"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1-3 настоящего технического регламента;</w:t>
            </w:r>
          </w:p>
          <w:p w14:paraId="76EC6408"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обозначение технических условий или стандартов, в соответствии</w:t>
            </w:r>
          </w:p>
          <w:p w14:paraId="65C67C64"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с которыми изготовлена продукция;</w:t>
            </w:r>
          </w:p>
          <w:p w14:paraId="0A9F0157"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гарантийный срок хранения;</w:t>
            </w:r>
          </w:p>
          <w:p w14:paraId="1103277F"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дата изготовления и номер партии;</w:t>
            </w:r>
          </w:p>
          <w:p w14:paraId="410EF227"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информацию об оценке соответствия продукции требованиям</w:t>
            </w:r>
          </w:p>
          <w:p w14:paraId="756C92CA"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настоящего технического регламента.</w:t>
            </w:r>
          </w:p>
          <w:p w14:paraId="61483A4E"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При недостаточной площади поверхности изделия допускается</w:t>
            </w:r>
          </w:p>
          <w:p w14:paraId="2AF1A3F8"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наносить маркировку в виде кода либо использовать этикетку</w:t>
            </w:r>
          </w:p>
          <w:p w14:paraId="132C2E93"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с маркировкой, находящуюся на изделии.</w:t>
            </w:r>
          </w:p>
          <w:p w14:paraId="210369D6"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Маркировка упаковки взрывчатых веществ и изделий на их основе</w:t>
            </w:r>
          </w:p>
          <w:p w14:paraId="1B000592"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должна включать:</w:t>
            </w:r>
          </w:p>
          <w:p w14:paraId="6AE268CF"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наименование (условное обозначение) взрывчатого вещества</w:t>
            </w:r>
          </w:p>
          <w:p w14:paraId="0ADBC4F0"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или изделия;</w:t>
            </w:r>
          </w:p>
          <w:p w14:paraId="2C1EE8B5"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наименование предприятия-изготовителя (поставщика</w:t>
            </w:r>
          </w:p>
          <w:p w14:paraId="38D2201A"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и (или) импортера), а также товарный знак (при его наличии) и их</w:t>
            </w:r>
          </w:p>
          <w:p w14:paraId="70264FB2"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юридический адрес;</w:t>
            </w:r>
          </w:p>
          <w:p w14:paraId="08CC6018"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классификационные обозначения в соответствии с приложениями</w:t>
            </w:r>
          </w:p>
          <w:p w14:paraId="238F38EF"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1 - 3 настоящего технического регламента;</w:t>
            </w:r>
          </w:p>
          <w:p w14:paraId="4887F5DA"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обозначение соответствия транспортной тары по механической</w:t>
            </w:r>
          </w:p>
          <w:p w14:paraId="22EF7B8C"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прочности;</w:t>
            </w:r>
          </w:p>
          <w:p w14:paraId="58636B0C"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обозначение технических условий или стандартов, в соответствии</w:t>
            </w:r>
          </w:p>
          <w:p w14:paraId="790E863F"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с которыми изготовлена продукция;</w:t>
            </w:r>
          </w:p>
          <w:p w14:paraId="3D410564"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гарантийный срок хранения;</w:t>
            </w:r>
          </w:p>
          <w:p w14:paraId="02789364"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дата изготовления и номер партии;</w:t>
            </w:r>
          </w:p>
          <w:p w14:paraId="66BB106F"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информацию об оценке соответствия продукции требованиям</w:t>
            </w:r>
          </w:p>
          <w:p w14:paraId="31725981"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настоящего технического регламента.</w:t>
            </w:r>
          </w:p>
        </w:tc>
        <w:tc>
          <w:tcPr>
            <w:tcW w:w="4795" w:type="dxa"/>
            <w:gridSpan w:val="2"/>
          </w:tcPr>
          <w:p w14:paraId="0AE078EB" w14:textId="77777777" w:rsidR="004204CD" w:rsidRPr="001F40A2" w:rsidRDefault="004204CD" w:rsidP="001F40A2">
            <w:pPr>
              <w:spacing w:after="0" w:line="240" w:lineRule="auto"/>
              <w:rPr>
                <w:rFonts w:ascii="Times New Roman" w:hAnsi="Times New Roman"/>
                <w:b/>
                <w:sz w:val="20"/>
                <w:szCs w:val="20"/>
              </w:rPr>
            </w:pPr>
            <w:r w:rsidRPr="001F40A2">
              <w:rPr>
                <w:rFonts w:ascii="Times New Roman" w:hAnsi="Times New Roman"/>
                <w:b/>
                <w:sz w:val="20"/>
                <w:szCs w:val="20"/>
              </w:rPr>
              <w:t>Предлагается!</w:t>
            </w:r>
          </w:p>
          <w:p w14:paraId="608B74AF"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Статью 4 изложить в следующей редакции:</w:t>
            </w:r>
          </w:p>
          <w:p w14:paraId="610848F2"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Статья 4 Маркировка взрывчатых веществ и изделий на их основе</w:t>
            </w:r>
          </w:p>
          <w:p w14:paraId="15E350EC"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1. Маркировка изделий на основе взрывчатых веществ должна включать:</w:t>
            </w:r>
          </w:p>
          <w:p w14:paraId="4CA41B84"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 наименование (условное обозначение) изделия;</w:t>
            </w:r>
          </w:p>
          <w:p w14:paraId="4EC0701E"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 условное обозначение предприятия-изготовителя и (или) товарный знак;</w:t>
            </w:r>
          </w:p>
          <w:p w14:paraId="479A0E95"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 классификационные обозначения в соответствии с приложениями</w:t>
            </w:r>
          </w:p>
          <w:p w14:paraId="7C2E423E"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1-3 настоящего технического регламента;</w:t>
            </w:r>
          </w:p>
          <w:p w14:paraId="15B035BE"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 дата изготовления и номер партии;</w:t>
            </w:r>
          </w:p>
          <w:p w14:paraId="240A7F2F"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 индивидуальный номер изделия.</w:t>
            </w:r>
          </w:p>
          <w:p w14:paraId="41BDFAA7"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При недостаточной площади поверхности изделия допускается</w:t>
            </w:r>
          </w:p>
          <w:p w14:paraId="3045A492"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наносить маркировку в виде кода либо использовать этикетку</w:t>
            </w:r>
          </w:p>
          <w:p w14:paraId="7AC74EF3"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с маркировкой, находящуюся на изделии.</w:t>
            </w:r>
          </w:p>
          <w:p w14:paraId="4B2CBF48"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2. Маркировка упаковки взрывчатых веществ и изделий на их основе</w:t>
            </w:r>
          </w:p>
          <w:p w14:paraId="0EB30281"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должна включать:</w:t>
            </w:r>
          </w:p>
          <w:p w14:paraId="0473BE12"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 наименование (условное обозначение) взрывчатого вещества</w:t>
            </w:r>
          </w:p>
          <w:p w14:paraId="674F7CA6"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или изделия;</w:t>
            </w:r>
          </w:p>
          <w:p w14:paraId="6F6DCA69"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 наименование предприятия-изготовителя, а также товарный знак (при его наличии) и его юридический адрес;</w:t>
            </w:r>
          </w:p>
          <w:p w14:paraId="61FB23BD"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 классификационные обозначения в соответствии с приложениями</w:t>
            </w:r>
          </w:p>
          <w:p w14:paraId="7A9704C4"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1 - 3 настоящего технического регламента;</w:t>
            </w:r>
          </w:p>
          <w:p w14:paraId="0E9EBDC1"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 номер ООН;</w:t>
            </w:r>
          </w:p>
          <w:p w14:paraId="7AE253D3"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 обозначение соответствия транспортной тары по механической</w:t>
            </w:r>
          </w:p>
          <w:p w14:paraId="57B6C721"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прочности;</w:t>
            </w:r>
          </w:p>
          <w:p w14:paraId="1A021209"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 обозначение технических условий или стандартов, в соответствии</w:t>
            </w:r>
          </w:p>
          <w:p w14:paraId="5C7A9CF7"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с которыми изготовлена продукция;</w:t>
            </w:r>
          </w:p>
          <w:p w14:paraId="66E48453"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 гарантийный срок хранения;</w:t>
            </w:r>
          </w:p>
          <w:p w14:paraId="67B540C3"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 дата изготовления и номер партии;</w:t>
            </w:r>
          </w:p>
          <w:p w14:paraId="2F826629"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 номер места в партии;</w:t>
            </w:r>
          </w:p>
          <w:p w14:paraId="38960D42"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 масса нетто;</w:t>
            </w:r>
          </w:p>
          <w:p w14:paraId="6F877910"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 масса брутто;</w:t>
            </w:r>
          </w:p>
          <w:p w14:paraId="3B3C3DB8"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 количество изделий в упаковке (для изделий на основе взрывчатых веществ);</w:t>
            </w:r>
          </w:p>
          <w:p w14:paraId="11188CB2"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 манипуляционные знаки и надписи, определяющие и (или) ограничивающие определенные действия, в целях обеспечения безопасности продукции;</w:t>
            </w:r>
          </w:p>
          <w:p w14:paraId="75DA3BC3"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информацию об оценке соответствия продукции требованиям</w:t>
            </w:r>
          </w:p>
          <w:p w14:paraId="5033A365"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настоящего технического регламента.</w:t>
            </w:r>
          </w:p>
          <w:p w14:paraId="681047C2"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 xml:space="preserve">3. На упаковку взрывчатых веществ и изделий на их основе, а также на изделия на основе взрывчатых веществ допускается нанесение дополнительной </w:t>
            </w:r>
            <w:r w:rsidRPr="001F40A2">
              <w:rPr>
                <w:rFonts w:ascii="Times New Roman" w:hAnsi="Times New Roman"/>
                <w:sz w:val="20"/>
                <w:szCs w:val="20"/>
              </w:rPr>
              <w:lastRenderedPageBreak/>
              <w:t>информации,  не изменяющей смысла предусмотренных данной статьей требований.</w:t>
            </w:r>
          </w:p>
          <w:p w14:paraId="539DD729"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4. Маркировка должна быть четкой, разборчивой, стойкой к различным воздействиям, которые могут возникать в процессе транспортирования, а также сохраняться в течение всего гарантийного срока хранения взрывчатых веществ и изделий на их основе.</w:t>
            </w:r>
          </w:p>
          <w:p w14:paraId="69541922"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Обоснование:</w:t>
            </w:r>
          </w:p>
          <w:p w14:paraId="5A551401"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 xml:space="preserve">Данная информация соответствует международным требованиям по перевозке опасных грузов класса 1, в том числе ДОПОГ, ГОСТ 19433.3, ГОСТ Р 51615, а также требованиям ТУ и стандартов на взрывчатые вещества и изделия на их основе. </w:t>
            </w:r>
          </w:p>
          <w:p w14:paraId="0CED3E5D"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Повышается контроль оборота взрывчатых веществ и изделий на их основе.</w:t>
            </w:r>
          </w:p>
          <w:p w14:paraId="047E1AA7"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 xml:space="preserve">Кроме того данная информация позволит при проведении процедуры подтверждения соответствия по схеме 3С полноценно идентифицировать оцениваемые партии продукции. </w:t>
            </w:r>
          </w:p>
        </w:tc>
      </w:tr>
      <w:tr w:rsidR="004204CD" w:rsidRPr="001F40A2" w14:paraId="4AA3E297" w14:textId="77777777" w:rsidTr="004204CD">
        <w:trPr>
          <w:jc w:val="center"/>
        </w:trPr>
        <w:tc>
          <w:tcPr>
            <w:tcW w:w="648" w:type="dxa"/>
          </w:tcPr>
          <w:p w14:paraId="1FF84A5F"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lastRenderedPageBreak/>
              <w:t>6</w:t>
            </w:r>
          </w:p>
        </w:tc>
        <w:tc>
          <w:tcPr>
            <w:tcW w:w="4140" w:type="dxa"/>
          </w:tcPr>
          <w:p w14:paraId="1349E672"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Статья 5</w:t>
            </w:r>
          </w:p>
        </w:tc>
        <w:tc>
          <w:tcPr>
            <w:tcW w:w="4795" w:type="dxa"/>
            <w:gridSpan w:val="2"/>
          </w:tcPr>
          <w:p w14:paraId="151A6547" w14:textId="77777777" w:rsidR="004204CD" w:rsidRPr="001F40A2" w:rsidRDefault="004204CD" w:rsidP="001F40A2">
            <w:pPr>
              <w:spacing w:after="0" w:line="240" w:lineRule="auto"/>
              <w:rPr>
                <w:rFonts w:ascii="Times New Roman" w:hAnsi="Times New Roman"/>
                <w:b/>
                <w:sz w:val="20"/>
                <w:szCs w:val="20"/>
              </w:rPr>
            </w:pPr>
            <w:r w:rsidRPr="001F40A2">
              <w:rPr>
                <w:rFonts w:ascii="Times New Roman" w:hAnsi="Times New Roman"/>
                <w:b/>
                <w:sz w:val="20"/>
                <w:szCs w:val="20"/>
              </w:rPr>
              <w:t>Все предложенные изменения не поддерживаются!</w:t>
            </w:r>
          </w:p>
          <w:p w14:paraId="30AC21AC" w14:textId="77777777" w:rsidR="004204CD" w:rsidRPr="001F40A2" w:rsidRDefault="004204CD" w:rsidP="001F40A2">
            <w:pPr>
              <w:spacing w:after="0" w:line="240" w:lineRule="auto"/>
              <w:rPr>
                <w:rFonts w:ascii="Times New Roman" w:hAnsi="Times New Roman"/>
                <w:b/>
                <w:sz w:val="20"/>
                <w:szCs w:val="20"/>
              </w:rPr>
            </w:pPr>
            <w:r w:rsidRPr="001F40A2">
              <w:rPr>
                <w:rFonts w:ascii="Times New Roman" w:hAnsi="Times New Roman"/>
                <w:b/>
                <w:sz w:val="20"/>
                <w:szCs w:val="20"/>
              </w:rPr>
              <w:t>Предлагается кардинально пересмотреть данную статью, так как в существующей редакции и в предлагаемых изменениях не учтены нижеуказанные принципиальные  критические требования безопасности, а также прозрачность и идентичность процедур подтверждения соответствия взрывчатых веществ и изделий на их основе:</w:t>
            </w:r>
          </w:p>
          <w:p w14:paraId="569484E5"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1. Не охвачен весь ассортимент продукции, фактически выпускаемый в обращение на территории ЕАЭС в наибольшем количестве. Например, электронные детонаторы, неэлектрические системы инициирования, детонирующие шнуры, изделия для перфорационных и других работ в скважинах, и т.д.</w:t>
            </w:r>
          </w:p>
          <w:p w14:paraId="1ABB34FD"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2. В Перечне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ТР ТС 028/2012 и осуществления оценки (подтверждения) соответствия продукции отсутствуют стандарты, которые содержат  методы исследований (испытаний) и измерений всех параметров безопасности, указанных в статье 5 (в том числе предлагаемых в новой редакции), оцениваемых при проведении процедур подтверждения соответствия взрывчатых веществ и изделий на их основе;</w:t>
            </w:r>
          </w:p>
          <w:p w14:paraId="1AEC81B0"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3. Часть параметров безопасности, указанных в статье 5, прописано абстрактно или нечетко, что позволяет органам по подтверждению соответствия нарушать принцип прозрачности и идентичности процедур подтверждения соответствия</w:t>
            </w:r>
            <w:r w:rsidRPr="001F40A2">
              <w:t xml:space="preserve"> </w:t>
            </w:r>
            <w:r w:rsidRPr="001F40A2">
              <w:rPr>
                <w:rFonts w:ascii="Times New Roman" w:hAnsi="Times New Roman"/>
                <w:sz w:val="20"/>
                <w:szCs w:val="20"/>
              </w:rPr>
              <w:t>взрывчатых веществ и изделий на их основе.</w:t>
            </w:r>
          </w:p>
          <w:p w14:paraId="7E38041E" w14:textId="77777777" w:rsidR="004204CD" w:rsidRPr="001F40A2" w:rsidRDefault="004204CD" w:rsidP="001F40A2">
            <w:pPr>
              <w:spacing w:after="0" w:line="240" w:lineRule="auto"/>
              <w:rPr>
                <w:rFonts w:ascii="Times New Roman" w:hAnsi="Times New Roman"/>
                <w:b/>
                <w:sz w:val="20"/>
                <w:szCs w:val="20"/>
              </w:rPr>
            </w:pPr>
            <w:r w:rsidRPr="001F40A2">
              <w:rPr>
                <w:rFonts w:ascii="Times New Roman" w:hAnsi="Times New Roman"/>
                <w:b/>
                <w:sz w:val="20"/>
                <w:szCs w:val="20"/>
              </w:rPr>
              <w:t xml:space="preserve">Для повышения уровня безопасности взрывчатых веществ и изделий на их основе, выпускаемых в обращение на территории ЕАЭС, защиты внутреннего рынка от «серых сертификатов» путем   </w:t>
            </w:r>
          </w:p>
          <w:p w14:paraId="4602E22B" w14:textId="77777777" w:rsidR="004204CD" w:rsidRPr="001F40A2" w:rsidRDefault="004204CD" w:rsidP="001F40A2">
            <w:pPr>
              <w:spacing w:after="0" w:line="240" w:lineRule="auto"/>
              <w:rPr>
                <w:rFonts w:ascii="Times New Roman" w:hAnsi="Times New Roman"/>
                <w:b/>
                <w:sz w:val="20"/>
                <w:szCs w:val="20"/>
              </w:rPr>
            </w:pPr>
            <w:r w:rsidRPr="001F40A2">
              <w:rPr>
                <w:rFonts w:ascii="Times New Roman" w:hAnsi="Times New Roman"/>
                <w:b/>
                <w:sz w:val="20"/>
                <w:szCs w:val="20"/>
              </w:rPr>
              <w:t xml:space="preserve">установления прозрачности и идентичности процедур подтверждения соответствия взрывчатых веществ и изделий на их основе </w:t>
            </w:r>
            <w:r w:rsidRPr="001F40A2">
              <w:rPr>
                <w:rFonts w:ascii="Times New Roman" w:hAnsi="Times New Roman"/>
                <w:b/>
                <w:sz w:val="20"/>
                <w:szCs w:val="20"/>
              </w:rPr>
              <w:lastRenderedPageBreak/>
              <w:t>необходимо:</w:t>
            </w:r>
          </w:p>
          <w:p w14:paraId="77AB5B6B"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1. С учетом данных о ввозимой из-за рубежа и производимой отечественной продукции и опыта ее применения на территории ЕАЭС, распределить взрывчатые вещества и изделия на их основе по видам с учетом однородных характеристик, в том числе с учетом потенциальных опасностей, и конструктивных особенностей.</w:t>
            </w:r>
          </w:p>
          <w:p w14:paraId="03DF02DF"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 xml:space="preserve">2. На основе анализа применения на территории ЕАЭС взрывчатых веществ и изделий на их основе, а также анализа причин произошедших инцидентов с данной продукцией для каждого отдельного вида взрывчатых веществ и изделий на их основе сформировать требования безопасности (с предельными значениями), необходимые для обязательного определения (испытаний) при проведении процедур подтверждения соответствия взрывчатых веществ и изделий на их основе требованиям ТР ТС 028/2012. </w:t>
            </w:r>
          </w:p>
          <w:p w14:paraId="1D7DE72D"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3. На основе отраслевых стандартов, ТУ, зарубежных стандартов,  и стандартов, входящих в Перечень стандартов, в результате применения которых на добровольной основе обеспечивается соблюдение требований ТР ТС 028/2012, разработать стандарты,  содержащие правила и методы исследований (испытаний) и измерений, в том числе правила отбора образцов, необходимые для применения и исполнения требований ТР ТС 028/2012 с учетом вышеуказанных изменений.</w:t>
            </w:r>
          </w:p>
        </w:tc>
      </w:tr>
      <w:tr w:rsidR="004204CD" w:rsidRPr="001F40A2" w14:paraId="17715B60" w14:textId="77777777" w:rsidTr="004204CD">
        <w:trPr>
          <w:jc w:val="center"/>
        </w:trPr>
        <w:tc>
          <w:tcPr>
            <w:tcW w:w="648" w:type="dxa"/>
          </w:tcPr>
          <w:p w14:paraId="0C3885CA"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lastRenderedPageBreak/>
              <w:t>7</w:t>
            </w:r>
          </w:p>
        </w:tc>
        <w:tc>
          <w:tcPr>
            <w:tcW w:w="4140" w:type="dxa"/>
          </w:tcPr>
          <w:p w14:paraId="6F715312"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8. Статьи 6 – 7 изложить в следующей редакции:</w:t>
            </w:r>
          </w:p>
          <w:p w14:paraId="698CDEAF"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«Статья 6. Порядок оформления разрешения на постоянное применение</w:t>
            </w:r>
          </w:p>
          <w:p w14:paraId="5C47D73C"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взрывчатых веществ и изделий на их основе</w:t>
            </w:r>
          </w:p>
        </w:tc>
        <w:tc>
          <w:tcPr>
            <w:tcW w:w="4795" w:type="dxa"/>
            <w:gridSpan w:val="2"/>
          </w:tcPr>
          <w:p w14:paraId="4B18F5B5" w14:textId="77777777" w:rsidR="004204CD" w:rsidRPr="001F40A2" w:rsidRDefault="004204CD" w:rsidP="001F40A2">
            <w:pPr>
              <w:spacing w:after="0" w:line="240" w:lineRule="auto"/>
              <w:rPr>
                <w:rFonts w:ascii="Times New Roman" w:hAnsi="Times New Roman"/>
                <w:sz w:val="20"/>
                <w:szCs w:val="20"/>
              </w:rPr>
            </w:pPr>
          </w:p>
        </w:tc>
      </w:tr>
      <w:tr w:rsidR="004204CD" w:rsidRPr="001F40A2" w14:paraId="27E1F37F" w14:textId="77777777" w:rsidTr="004204CD">
        <w:trPr>
          <w:jc w:val="center"/>
        </w:trPr>
        <w:tc>
          <w:tcPr>
            <w:tcW w:w="648" w:type="dxa"/>
          </w:tcPr>
          <w:p w14:paraId="72CB2918" w14:textId="77777777" w:rsidR="004204CD" w:rsidRPr="001F40A2" w:rsidRDefault="004204CD" w:rsidP="001F40A2">
            <w:pPr>
              <w:spacing w:after="0" w:line="240" w:lineRule="auto"/>
              <w:rPr>
                <w:rFonts w:ascii="Times New Roman" w:hAnsi="Times New Roman"/>
                <w:sz w:val="20"/>
                <w:szCs w:val="20"/>
              </w:rPr>
            </w:pPr>
          </w:p>
        </w:tc>
        <w:tc>
          <w:tcPr>
            <w:tcW w:w="4140" w:type="dxa"/>
          </w:tcPr>
          <w:p w14:paraId="76F478E6"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1. На взрывчатые вещества и изделия на их основе, указанные в подпункте а) пункта 1 статьи 1 настоящего технического регламента, должно быть оформлено Разрешение на постоянное применение, выданное одним из уполномоченных органов в области промышленной безопасности государства-члена Союза (далее – Разрешение).</w:t>
            </w:r>
          </w:p>
        </w:tc>
        <w:tc>
          <w:tcPr>
            <w:tcW w:w="4795" w:type="dxa"/>
            <w:gridSpan w:val="2"/>
          </w:tcPr>
          <w:p w14:paraId="1BCF0113" w14:textId="77777777" w:rsidR="004204CD" w:rsidRPr="001F40A2" w:rsidRDefault="004204CD" w:rsidP="001F40A2">
            <w:pPr>
              <w:spacing w:after="0" w:line="240" w:lineRule="auto"/>
              <w:rPr>
                <w:rFonts w:ascii="Times New Roman" w:hAnsi="Times New Roman"/>
                <w:b/>
                <w:sz w:val="20"/>
                <w:szCs w:val="20"/>
              </w:rPr>
            </w:pPr>
            <w:r w:rsidRPr="001F40A2">
              <w:rPr>
                <w:rFonts w:ascii="Times New Roman" w:hAnsi="Times New Roman"/>
                <w:b/>
                <w:sz w:val="20"/>
                <w:szCs w:val="20"/>
              </w:rPr>
              <w:t>Нет возражений</w:t>
            </w:r>
          </w:p>
        </w:tc>
      </w:tr>
      <w:tr w:rsidR="004204CD" w:rsidRPr="001F40A2" w14:paraId="688AD870" w14:textId="77777777" w:rsidTr="004204CD">
        <w:trPr>
          <w:jc w:val="center"/>
        </w:trPr>
        <w:tc>
          <w:tcPr>
            <w:tcW w:w="648" w:type="dxa"/>
          </w:tcPr>
          <w:p w14:paraId="22471C8A" w14:textId="77777777" w:rsidR="004204CD" w:rsidRPr="001F40A2" w:rsidRDefault="004204CD" w:rsidP="001F40A2">
            <w:pPr>
              <w:spacing w:after="0" w:line="240" w:lineRule="auto"/>
              <w:rPr>
                <w:rFonts w:ascii="Times New Roman" w:hAnsi="Times New Roman"/>
                <w:sz w:val="20"/>
                <w:szCs w:val="20"/>
              </w:rPr>
            </w:pPr>
          </w:p>
        </w:tc>
        <w:tc>
          <w:tcPr>
            <w:tcW w:w="4140" w:type="dxa"/>
          </w:tcPr>
          <w:p w14:paraId="1D1EA5F6"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sz w:val="20"/>
                <w:szCs w:val="20"/>
              </w:rPr>
              <w:t>2. Для получения Разрешения заявитель представляет в уполномоченный орган в области промышленной безопасности государства-члена Союза заявление с приложением технических условий либо стандарта организации, либо стандарта (для взрывчатых веществ и изделий на их основе, изготовленных за пределами таможенной территории Союза, - при наличии указанных документов) с руководством (инструкцией) по применению, согласованных с экспертной</w:t>
            </w:r>
          </w:p>
          <w:p w14:paraId="3BD1A150"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sz w:val="20"/>
                <w:szCs w:val="20"/>
              </w:rPr>
              <w:t>организацией (для технических условий либо стандарта организации и руководства (инструкции) по применению), акта приемочных испытаний и экспертного заключения по промышленной безопасности.</w:t>
            </w:r>
          </w:p>
        </w:tc>
        <w:tc>
          <w:tcPr>
            <w:tcW w:w="4795" w:type="dxa"/>
            <w:gridSpan w:val="2"/>
          </w:tcPr>
          <w:p w14:paraId="742656D2"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b/>
                <w:sz w:val="20"/>
                <w:szCs w:val="20"/>
              </w:rPr>
              <w:t xml:space="preserve">Изменение не поддерживается, </w:t>
            </w:r>
            <w:r w:rsidRPr="001F40A2">
              <w:rPr>
                <w:rFonts w:ascii="Times New Roman" w:hAnsi="Times New Roman"/>
                <w:sz w:val="20"/>
                <w:szCs w:val="20"/>
              </w:rPr>
              <w:t>так как процедура получения Разрешения проводится согласно национального законодательства стран-членов Союза и порядок процедуры, в том числе перечень подаваемых документов установлен местным законодательством каждого отдельного государства.</w:t>
            </w:r>
          </w:p>
          <w:p w14:paraId="7DDDB18B"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 xml:space="preserve">Согласование стандартов или технических условий так же закреплено национальным законодательством стран-членов Союза в области стандартизации (технического регулирования). </w:t>
            </w:r>
          </w:p>
          <w:p w14:paraId="3CF11A0E"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Сам процесс получения Разрешения не относится к процедурам подтверждения соответствия взрывчатых веществ и изделий на их основе требованиям ТРТС 028/2012, так как орган по сертификации проверяет только наличие готового Разрешения, выданного органом в области промышленной безопасности государства-члена Союза.</w:t>
            </w:r>
          </w:p>
        </w:tc>
      </w:tr>
      <w:tr w:rsidR="004204CD" w:rsidRPr="001F40A2" w14:paraId="297BC5FF" w14:textId="77777777" w:rsidTr="004204CD">
        <w:trPr>
          <w:jc w:val="center"/>
        </w:trPr>
        <w:tc>
          <w:tcPr>
            <w:tcW w:w="648" w:type="dxa"/>
          </w:tcPr>
          <w:p w14:paraId="319E314E" w14:textId="77777777" w:rsidR="004204CD" w:rsidRPr="001F40A2" w:rsidRDefault="004204CD" w:rsidP="001F40A2">
            <w:pPr>
              <w:spacing w:after="0" w:line="240" w:lineRule="auto"/>
              <w:rPr>
                <w:rFonts w:ascii="Times New Roman" w:hAnsi="Times New Roman"/>
                <w:sz w:val="20"/>
                <w:szCs w:val="20"/>
              </w:rPr>
            </w:pPr>
          </w:p>
        </w:tc>
        <w:tc>
          <w:tcPr>
            <w:tcW w:w="4140" w:type="dxa"/>
          </w:tcPr>
          <w:p w14:paraId="1CD65767"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sz w:val="20"/>
                <w:szCs w:val="20"/>
              </w:rPr>
              <w:t xml:space="preserve">3. Разрешение на взрывчатые вещества и изделия на их основе выдается </w:t>
            </w:r>
            <w:r w:rsidRPr="001F40A2">
              <w:rPr>
                <w:rFonts w:ascii="Times New Roman" w:hAnsi="Times New Roman"/>
                <w:sz w:val="20"/>
                <w:szCs w:val="20"/>
              </w:rPr>
              <w:lastRenderedPageBreak/>
              <w:t>уполномоченным органом в области промышленной безопасности государства – члена Союза после проведения контрольных</w:t>
            </w:r>
          </w:p>
          <w:p w14:paraId="65E3CAA1"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sz w:val="20"/>
                <w:szCs w:val="20"/>
              </w:rPr>
              <w:t>и приемочных испытаний в производственных условиях в соответствии</w:t>
            </w:r>
          </w:p>
          <w:p w14:paraId="6EE175E0"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sz w:val="20"/>
                <w:szCs w:val="20"/>
              </w:rPr>
              <w:t>с национальным законодательством государства – члена Союза (или в порядке, установленном уполномоченным органом в области промышленной безопасности государства – члена Союза.</w:t>
            </w:r>
          </w:p>
          <w:p w14:paraId="5A740816"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sz w:val="20"/>
                <w:szCs w:val="20"/>
              </w:rPr>
              <w:t>Разрешение выдается на все условия (области) применения взрывчатых веществ и изделий на их основе в соответствии с технической документацией.</w:t>
            </w:r>
          </w:p>
        </w:tc>
        <w:tc>
          <w:tcPr>
            <w:tcW w:w="4795" w:type="dxa"/>
            <w:gridSpan w:val="2"/>
          </w:tcPr>
          <w:p w14:paraId="30671B9F"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b/>
                <w:sz w:val="20"/>
                <w:szCs w:val="20"/>
              </w:rPr>
              <w:lastRenderedPageBreak/>
              <w:t>Нет возражений</w:t>
            </w:r>
          </w:p>
        </w:tc>
      </w:tr>
      <w:tr w:rsidR="004204CD" w:rsidRPr="001F40A2" w14:paraId="29E99584" w14:textId="77777777" w:rsidTr="004204CD">
        <w:trPr>
          <w:jc w:val="center"/>
        </w:trPr>
        <w:tc>
          <w:tcPr>
            <w:tcW w:w="648" w:type="dxa"/>
          </w:tcPr>
          <w:p w14:paraId="0C678E26" w14:textId="77777777" w:rsidR="004204CD" w:rsidRPr="001F40A2" w:rsidRDefault="004204CD" w:rsidP="001F40A2">
            <w:pPr>
              <w:spacing w:after="0" w:line="240" w:lineRule="auto"/>
              <w:rPr>
                <w:rFonts w:ascii="Times New Roman" w:hAnsi="Times New Roman"/>
                <w:sz w:val="20"/>
                <w:szCs w:val="20"/>
              </w:rPr>
            </w:pPr>
          </w:p>
        </w:tc>
        <w:tc>
          <w:tcPr>
            <w:tcW w:w="4140" w:type="dxa"/>
          </w:tcPr>
          <w:p w14:paraId="7BC4F85B"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sz w:val="20"/>
                <w:szCs w:val="20"/>
              </w:rPr>
              <w:t>4. В состав комиссии по проведению приемочных испытаний должны быть включены представители изготовителя, разработчика (при наличии), организации, в которой проводятся испытания, экспертной организации, уполномоченного органа в области промышленной безопасности государства – члена Союза, других органов</w:t>
            </w:r>
          </w:p>
          <w:p w14:paraId="4E78AFDF"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sz w:val="20"/>
                <w:szCs w:val="20"/>
              </w:rPr>
              <w:t>(по согласованию).</w:t>
            </w:r>
          </w:p>
          <w:p w14:paraId="06FFDEBF"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sz w:val="20"/>
                <w:szCs w:val="20"/>
              </w:rPr>
              <w:t>Приемочные испытания проводятся для всех условий (областей) применения взрывчатых веществ и изделий на их основе в соответствии с технической документацией.</w:t>
            </w:r>
          </w:p>
        </w:tc>
        <w:tc>
          <w:tcPr>
            <w:tcW w:w="4795" w:type="dxa"/>
            <w:gridSpan w:val="2"/>
          </w:tcPr>
          <w:p w14:paraId="21110BF9"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b/>
                <w:sz w:val="20"/>
                <w:szCs w:val="20"/>
              </w:rPr>
              <w:t>Нет возражений</w:t>
            </w:r>
          </w:p>
        </w:tc>
      </w:tr>
      <w:tr w:rsidR="004204CD" w:rsidRPr="001F40A2" w14:paraId="79B672D3" w14:textId="77777777" w:rsidTr="004204CD">
        <w:trPr>
          <w:jc w:val="center"/>
        </w:trPr>
        <w:tc>
          <w:tcPr>
            <w:tcW w:w="648" w:type="dxa"/>
          </w:tcPr>
          <w:p w14:paraId="0119A3A0" w14:textId="77777777" w:rsidR="004204CD" w:rsidRPr="001F40A2" w:rsidRDefault="004204CD" w:rsidP="001F40A2">
            <w:pPr>
              <w:spacing w:after="0" w:line="240" w:lineRule="auto"/>
              <w:rPr>
                <w:rFonts w:ascii="Times New Roman" w:hAnsi="Times New Roman"/>
                <w:sz w:val="20"/>
                <w:szCs w:val="20"/>
              </w:rPr>
            </w:pPr>
          </w:p>
        </w:tc>
        <w:tc>
          <w:tcPr>
            <w:tcW w:w="4140" w:type="dxa"/>
          </w:tcPr>
          <w:p w14:paraId="4FA6ED38"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sz w:val="20"/>
                <w:szCs w:val="20"/>
              </w:rPr>
              <w:t>5. Масса опытных партий взрывчатых веществ, необходимая для проведения приемочных испытаний, приведена в приложении 5 к настоящему техническому регламенту.</w:t>
            </w:r>
          </w:p>
          <w:p w14:paraId="51E74ABF"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sz w:val="20"/>
                <w:szCs w:val="20"/>
              </w:rPr>
              <w:t>Для специального класса изделий, не указанных в приложении 1 к настоящему техническому регламенту, их количество устанавливается в программе и методике приемочных испытаний, согласованной</w:t>
            </w:r>
          </w:p>
          <w:p w14:paraId="312B58AE"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sz w:val="20"/>
                <w:szCs w:val="20"/>
              </w:rPr>
              <w:t>с экспертной организацией.</w:t>
            </w:r>
          </w:p>
        </w:tc>
        <w:tc>
          <w:tcPr>
            <w:tcW w:w="4795" w:type="dxa"/>
            <w:gridSpan w:val="2"/>
          </w:tcPr>
          <w:p w14:paraId="66F5D623"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b/>
                <w:sz w:val="20"/>
                <w:szCs w:val="20"/>
              </w:rPr>
              <w:t>Изменение не поддерживается</w:t>
            </w:r>
            <w:r w:rsidRPr="001F40A2">
              <w:rPr>
                <w:rFonts w:ascii="Times New Roman" w:hAnsi="Times New Roman"/>
                <w:sz w:val="20"/>
                <w:szCs w:val="20"/>
              </w:rPr>
              <w:t>, так как в приложении 5 к ТРТС 028/2012 не учтено количество многих видов изделий и не только специального класса.</w:t>
            </w:r>
          </w:p>
          <w:p w14:paraId="0024EF22" w14:textId="77777777" w:rsidR="004204CD" w:rsidRPr="001F40A2" w:rsidRDefault="004204CD" w:rsidP="001F40A2">
            <w:pPr>
              <w:spacing w:after="0" w:line="240" w:lineRule="auto"/>
              <w:rPr>
                <w:rFonts w:ascii="Times New Roman" w:hAnsi="Times New Roman"/>
                <w:b/>
                <w:sz w:val="20"/>
                <w:szCs w:val="20"/>
              </w:rPr>
            </w:pPr>
            <w:r w:rsidRPr="001F40A2">
              <w:rPr>
                <w:rFonts w:ascii="Times New Roman" w:hAnsi="Times New Roman"/>
                <w:b/>
                <w:sz w:val="20"/>
                <w:szCs w:val="20"/>
              </w:rPr>
              <w:t>Предлагается второй абзац изложить следующим образом:</w:t>
            </w:r>
          </w:p>
          <w:p w14:paraId="23F6ACD7"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sz w:val="20"/>
                <w:szCs w:val="20"/>
              </w:rPr>
              <w:t xml:space="preserve"> Для изделий на основе взрывчатых веществ, не указанных в приложении 5 к настоящему техническому регламенту, их количество устанавливается в программе и методике приемочных испытаний, согласованной</w:t>
            </w:r>
          </w:p>
          <w:p w14:paraId="49518481"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sz w:val="20"/>
                <w:szCs w:val="20"/>
              </w:rPr>
              <w:t>с экспертной организацией.</w:t>
            </w:r>
          </w:p>
        </w:tc>
      </w:tr>
      <w:tr w:rsidR="004204CD" w:rsidRPr="001F40A2" w14:paraId="3816C59A" w14:textId="77777777" w:rsidTr="004204CD">
        <w:trPr>
          <w:jc w:val="center"/>
        </w:trPr>
        <w:tc>
          <w:tcPr>
            <w:tcW w:w="648" w:type="dxa"/>
          </w:tcPr>
          <w:p w14:paraId="676002C9" w14:textId="77777777" w:rsidR="004204CD" w:rsidRPr="001F40A2" w:rsidRDefault="004204CD" w:rsidP="001F40A2">
            <w:pPr>
              <w:spacing w:after="0" w:line="240" w:lineRule="auto"/>
              <w:rPr>
                <w:rFonts w:ascii="Times New Roman" w:hAnsi="Times New Roman"/>
                <w:sz w:val="20"/>
                <w:szCs w:val="20"/>
              </w:rPr>
            </w:pPr>
          </w:p>
        </w:tc>
        <w:tc>
          <w:tcPr>
            <w:tcW w:w="4140" w:type="dxa"/>
          </w:tcPr>
          <w:p w14:paraId="6957B5B4"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sz w:val="20"/>
                <w:szCs w:val="20"/>
              </w:rPr>
              <w:t xml:space="preserve">6. Разрешение выдается по форме согласно приложению 6 к настоящему техническому регламенту и должно отражать только те </w:t>
            </w:r>
            <w:r w:rsidRPr="001F40A2">
              <w:rPr>
                <w:rFonts w:ascii="Times New Roman" w:hAnsi="Times New Roman"/>
                <w:b/>
                <w:sz w:val="20"/>
                <w:szCs w:val="20"/>
              </w:rPr>
              <w:t>маркировки</w:t>
            </w:r>
            <w:r w:rsidRPr="001F40A2">
              <w:rPr>
                <w:rFonts w:ascii="Times New Roman" w:hAnsi="Times New Roman"/>
                <w:sz w:val="20"/>
                <w:szCs w:val="20"/>
              </w:rPr>
              <w:t xml:space="preserve"> взрывчатых веществ и изделий на их основе, которые выдержали приемочные испытания в соответствующих для этих марок условиях применения согласно классификации, приведенной в приложении 1 к настоящему техническому регламенту.</w:t>
            </w:r>
          </w:p>
          <w:p w14:paraId="64E2AEAD"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sz w:val="20"/>
                <w:szCs w:val="20"/>
              </w:rPr>
              <w:t>Разрешение имеет одинаковую силу на территориях государств – членов Союза.</w:t>
            </w:r>
          </w:p>
          <w:p w14:paraId="0396A019" w14:textId="77777777" w:rsidR="004204CD" w:rsidRDefault="004204CD" w:rsidP="001F40A2">
            <w:pPr>
              <w:spacing w:after="0" w:line="240" w:lineRule="auto"/>
              <w:jc w:val="both"/>
              <w:rPr>
                <w:rFonts w:ascii="Times New Roman" w:hAnsi="Times New Roman"/>
                <w:sz w:val="20"/>
                <w:szCs w:val="20"/>
              </w:rPr>
            </w:pPr>
            <w:r w:rsidRPr="001F40A2">
              <w:rPr>
                <w:rFonts w:ascii="Times New Roman" w:hAnsi="Times New Roman"/>
                <w:sz w:val="20"/>
                <w:szCs w:val="20"/>
              </w:rPr>
              <w:t>Сведения о выданных уполномоченными органами в области промышленной безопасности государств – членов Союза Разрешениях вносятся в единый реестр разрешений на постоянное применение взрывчатых веществ и изделий на их основе Союза, формирование и ведение которого осуществляется в порядке, утверждаемом Евразийской экономической комиссией.</w:t>
            </w:r>
          </w:p>
          <w:p w14:paraId="67541F74" w14:textId="77777777" w:rsidR="004204CD" w:rsidRPr="001F40A2" w:rsidRDefault="004204CD" w:rsidP="001F40A2">
            <w:pPr>
              <w:spacing w:after="0" w:line="240" w:lineRule="auto"/>
              <w:jc w:val="both"/>
              <w:rPr>
                <w:rFonts w:ascii="Times New Roman" w:hAnsi="Times New Roman"/>
                <w:sz w:val="20"/>
                <w:szCs w:val="20"/>
              </w:rPr>
            </w:pPr>
          </w:p>
        </w:tc>
        <w:tc>
          <w:tcPr>
            <w:tcW w:w="4795" w:type="dxa"/>
            <w:gridSpan w:val="2"/>
          </w:tcPr>
          <w:p w14:paraId="2147819B" w14:textId="77777777" w:rsidR="004204CD" w:rsidRPr="001F40A2" w:rsidRDefault="004204CD" w:rsidP="001F40A2">
            <w:pPr>
              <w:spacing w:after="0" w:line="240" w:lineRule="auto"/>
              <w:rPr>
                <w:rFonts w:ascii="Times New Roman" w:hAnsi="Times New Roman"/>
                <w:b/>
                <w:sz w:val="20"/>
                <w:szCs w:val="20"/>
              </w:rPr>
            </w:pPr>
            <w:r w:rsidRPr="001F40A2">
              <w:rPr>
                <w:rFonts w:ascii="Times New Roman" w:hAnsi="Times New Roman"/>
                <w:b/>
                <w:sz w:val="20"/>
                <w:szCs w:val="20"/>
              </w:rPr>
              <w:t xml:space="preserve">Нет возражений, </w:t>
            </w:r>
            <w:r w:rsidRPr="001F40A2">
              <w:rPr>
                <w:rFonts w:ascii="Times New Roman" w:hAnsi="Times New Roman"/>
                <w:sz w:val="20"/>
                <w:szCs w:val="20"/>
              </w:rPr>
              <w:t>если слово</w:t>
            </w:r>
            <w:r w:rsidRPr="001F40A2">
              <w:t xml:space="preserve"> </w:t>
            </w:r>
            <w:r w:rsidRPr="001F40A2">
              <w:rPr>
                <w:rFonts w:ascii="Times New Roman" w:hAnsi="Times New Roman"/>
                <w:b/>
                <w:sz w:val="20"/>
                <w:szCs w:val="20"/>
              </w:rPr>
              <w:t>маркировки</w:t>
            </w:r>
            <w:r w:rsidRPr="001F40A2">
              <w:rPr>
                <w:rFonts w:ascii="Times New Roman" w:hAnsi="Times New Roman"/>
                <w:sz w:val="20"/>
                <w:szCs w:val="20"/>
              </w:rPr>
              <w:t xml:space="preserve"> исправить на слово </w:t>
            </w:r>
            <w:r w:rsidRPr="001F40A2">
              <w:rPr>
                <w:rFonts w:ascii="Times New Roman" w:hAnsi="Times New Roman"/>
                <w:b/>
                <w:sz w:val="20"/>
                <w:szCs w:val="20"/>
              </w:rPr>
              <w:t>марки.</w:t>
            </w:r>
          </w:p>
          <w:p w14:paraId="4F43D054" w14:textId="77777777" w:rsidR="004204CD" w:rsidRPr="001F40A2" w:rsidRDefault="004204CD" w:rsidP="001F40A2">
            <w:pPr>
              <w:spacing w:after="0" w:line="240" w:lineRule="auto"/>
              <w:jc w:val="both"/>
              <w:rPr>
                <w:rFonts w:ascii="Times New Roman" w:hAnsi="Times New Roman"/>
                <w:b/>
                <w:sz w:val="20"/>
                <w:szCs w:val="20"/>
              </w:rPr>
            </w:pPr>
            <w:r w:rsidRPr="001F40A2">
              <w:rPr>
                <w:rFonts w:ascii="Times New Roman" w:hAnsi="Times New Roman"/>
                <w:sz w:val="20"/>
                <w:szCs w:val="20"/>
              </w:rPr>
              <w:t xml:space="preserve">6. Разрешение выдается по форме согласно приложению 6 к настоящему техническому регламенту и должно отражать только те </w:t>
            </w:r>
            <w:r w:rsidRPr="001F40A2">
              <w:rPr>
                <w:rFonts w:ascii="Times New Roman" w:hAnsi="Times New Roman"/>
                <w:b/>
                <w:sz w:val="20"/>
                <w:szCs w:val="20"/>
              </w:rPr>
              <w:t>марки</w:t>
            </w:r>
            <w:r w:rsidRPr="001F40A2">
              <w:rPr>
                <w:rFonts w:ascii="Times New Roman" w:hAnsi="Times New Roman"/>
                <w:sz w:val="20"/>
                <w:szCs w:val="20"/>
              </w:rPr>
              <w:t xml:space="preserve"> ….. далее по тексту.</w:t>
            </w:r>
          </w:p>
        </w:tc>
      </w:tr>
      <w:tr w:rsidR="004204CD" w:rsidRPr="001F40A2" w14:paraId="24E894C8" w14:textId="77777777" w:rsidTr="004204CD">
        <w:trPr>
          <w:jc w:val="center"/>
        </w:trPr>
        <w:tc>
          <w:tcPr>
            <w:tcW w:w="648" w:type="dxa"/>
          </w:tcPr>
          <w:p w14:paraId="5CA7689B" w14:textId="77777777" w:rsidR="004204CD" w:rsidRPr="001F40A2" w:rsidRDefault="004204CD" w:rsidP="001F40A2">
            <w:pPr>
              <w:spacing w:after="0" w:line="240" w:lineRule="auto"/>
              <w:rPr>
                <w:rFonts w:ascii="Times New Roman" w:hAnsi="Times New Roman"/>
                <w:sz w:val="20"/>
                <w:szCs w:val="20"/>
              </w:rPr>
            </w:pPr>
          </w:p>
        </w:tc>
        <w:tc>
          <w:tcPr>
            <w:tcW w:w="4140" w:type="dxa"/>
          </w:tcPr>
          <w:p w14:paraId="1D64DCF9"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sz w:val="20"/>
                <w:szCs w:val="20"/>
              </w:rPr>
              <w:t xml:space="preserve">7. Изменения, вносимые в технические условия (стандарт организации) и </w:t>
            </w:r>
            <w:r w:rsidRPr="001F40A2">
              <w:rPr>
                <w:rFonts w:ascii="Times New Roman" w:hAnsi="Times New Roman"/>
                <w:sz w:val="20"/>
                <w:szCs w:val="20"/>
              </w:rPr>
              <w:lastRenderedPageBreak/>
              <w:t>руководства (инструкции) по применению,</w:t>
            </w:r>
          </w:p>
          <w:p w14:paraId="417E0E0E"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sz w:val="20"/>
                <w:szCs w:val="20"/>
              </w:rPr>
              <w:t>согласовываются с экспертной организацией и предоставляются с документами, подтверждающими необходимость, обоснованность и безопасность вносимых изменений, в уполномоченный орган в области промышленной безопасности государства – члена Союза, выдавший Разрешение.</w:t>
            </w:r>
          </w:p>
        </w:tc>
        <w:tc>
          <w:tcPr>
            <w:tcW w:w="4795" w:type="dxa"/>
            <w:gridSpan w:val="2"/>
          </w:tcPr>
          <w:p w14:paraId="1BEE0182"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b/>
                <w:sz w:val="20"/>
                <w:szCs w:val="20"/>
              </w:rPr>
              <w:lastRenderedPageBreak/>
              <w:t>Изменение не поддерживается</w:t>
            </w:r>
            <w:r w:rsidRPr="001F40A2">
              <w:rPr>
                <w:rFonts w:ascii="Times New Roman" w:hAnsi="Times New Roman"/>
                <w:sz w:val="20"/>
                <w:szCs w:val="20"/>
              </w:rPr>
              <w:t xml:space="preserve">, так как порядок разработки, согласования внесения изменений и </w:t>
            </w:r>
            <w:r w:rsidRPr="001F40A2">
              <w:rPr>
                <w:rFonts w:ascii="Times New Roman" w:hAnsi="Times New Roman"/>
                <w:sz w:val="20"/>
                <w:szCs w:val="20"/>
              </w:rPr>
              <w:lastRenderedPageBreak/>
              <w:t>отмены стандартов или технических условий закреплен национальным законодательством стран-членов Союза в области стандартизации (технического регулирования).</w:t>
            </w:r>
          </w:p>
        </w:tc>
      </w:tr>
      <w:tr w:rsidR="004204CD" w:rsidRPr="001F40A2" w14:paraId="2604E562" w14:textId="77777777" w:rsidTr="004204CD">
        <w:trPr>
          <w:jc w:val="center"/>
        </w:trPr>
        <w:tc>
          <w:tcPr>
            <w:tcW w:w="648" w:type="dxa"/>
          </w:tcPr>
          <w:p w14:paraId="09A08C29" w14:textId="77777777" w:rsidR="004204CD" w:rsidRPr="001F40A2" w:rsidRDefault="004204CD" w:rsidP="001F40A2">
            <w:pPr>
              <w:spacing w:after="0" w:line="240" w:lineRule="auto"/>
              <w:rPr>
                <w:rFonts w:ascii="Times New Roman" w:hAnsi="Times New Roman"/>
                <w:sz w:val="20"/>
                <w:szCs w:val="20"/>
              </w:rPr>
            </w:pPr>
          </w:p>
        </w:tc>
        <w:tc>
          <w:tcPr>
            <w:tcW w:w="4140" w:type="dxa"/>
          </w:tcPr>
          <w:p w14:paraId="6F2DA9A7"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sz w:val="20"/>
                <w:szCs w:val="20"/>
              </w:rPr>
              <w:t>8. Требования к порядку проведения экспертизы промышленной безопасности, экспертным заключениям по промышленной</w:t>
            </w:r>
          </w:p>
          <w:p w14:paraId="45D264AD"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sz w:val="20"/>
                <w:szCs w:val="20"/>
              </w:rPr>
              <w:t>безопасности, экспертным организациям и порядку аттестации экспертов устанавливаются уполномоченными органами в области промышленной безопасности государств – членов Союза.</w:t>
            </w:r>
          </w:p>
        </w:tc>
        <w:tc>
          <w:tcPr>
            <w:tcW w:w="4795" w:type="dxa"/>
            <w:gridSpan w:val="2"/>
          </w:tcPr>
          <w:p w14:paraId="336D282D"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b/>
                <w:sz w:val="20"/>
                <w:szCs w:val="20"/>
              </w:rPr>
              <w:t>Нет возражений</w:t>
            </w:r>
          </w:p>
        </w:tc>
      </w:tr>
      <w:tr w:rsidR="004204CD" w:rsidRPr="001F40A2" w14:paraId="0BD5075A" w14:textId="77777777" w:rsidTr="004204CD">
        <w:trPr>
          <w:jc w:val="center"/>
        </w:trPr>
        <w:tc>
          <w:tcPr>
            <w:tcW w:w="648" w:type="dxa"/>
          </w:tcPr>
          <w:p w14:paraId="24E0A59D"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8</w:t>
            </w:r>
          </w:p>
        </w:tc>
        <w:tc>
          <w:tcPr>
            <w:tcW w:w="4140" w:type="dxa"/>
          </w:tcPr>
          <w:p w14:paraId="593E36AD"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sz w:val="20"/>
                <w:szCs w:val="20"/>
              </w:rPr>
              <w:t>Статья 7. Обеспечение соответствия</w:t>
            </w:r>
          </w:p>
          <w:p w14:paraId="42C45EFE"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sz w:val="20"/>
                <w:szCs w:val="20"/>
              </w:rPr>
              <w:t>1. Соответствие взрывчатых веществ и изделий на их основе требованиям настоящего технического регламента обеспечивается выполнением его требований либо выполнением его требований и требований стандартов, включенных в перечень международных и региональных (межгосударственных) стандартов, а в случае</w:t>
            </w:r>
          </w:p>
          <w:p w14:paraId="027D0F71"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sz w:val="20"/>
                <w:szCs w:val="20"/>
              </w:rPr>
              <w:t>их отсутствия – национальных (государственных) стандартов, в результате применения которых на добровольной основе обеспечивается соблюдение требований настоящего технического регламента (далее – перечень стандартов, применяемых на добровольной основе).</w:t>
            </w:r>
          </w:p>
          <w:p w14:paraId="12C61B60"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sz w:val="20"/>
                <w:szCs w:val="20"/>
              </w:rPr>
              <w:t>2. Методы исследований (испытаний) и измерений взрывчатых веществ и изделий на их основе устанавливаются в стандартах, включенных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пиротехнических изделий (далее – перечень стандартов, содержащих правила и методы).»</w:t>
            </w:r>
          </w:p>
        </w:tc>
        <w:tc>
          <w:tcPr>
            <w:tcW w:w="4795" w:type="dxa"/>
            <w:gridSpan w:val="2"/>
          </w:tcPr>
          <w:p w14:paraId="5514E3A1"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b/>
                <w:sz w:val="20"/>
                <w:szCs w:val="20"/>
              </w:rPr>
              <w:t>Нет возражений</w:t>
            </w:r>
          </w:p>
        </w:tc>
      </w:tr>
      <w:tr w:rsidR="004204CD" w:rsidRPr="001F40A2" w14:paraId="39E7A9FA" w14:textId="77777777" w:rsidTr="004204CD">
        <w:trPr>
          <w:jc w:val="center"/>
        </w:trPr>
        <w:tc>
          <w:tcPr>
            <w:tcW w:w="648" w:type="dxa"/>
          </w:tcPr>
          <w:p w14:paraId="0687CE22"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9</w:t>
            </w:r>
          </w:p>
        </w:tc>
        <w:tc>
          <w:tcPr>
            <w:tcW w:w="4140" w:type="dxa"/>
          </w:tcPr>
          <w:p w14:paraId="22FB97F0"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9. Статью 9 в прежней редакции исключить.</w:t>
            </w:r>
          </w:p>
        </w:tc>
        <w:tc>
          <w:tcPr>
            <w:tcW w:w="4795" w:type="dxa"/>
            <w:gridSpan w:val="2"/>
          </w:tcPr>
          <w:p w14:paraId="2900A4C3"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b/>
                <w:sz w:val="20"/>
                <w:szCs w:val="20"/>
              </w:rPr>
              <w:t>Нет возражений</w:t>
            </w:r>
            <w:r w:rsidRPr="001F40A2">
              <w:rPr>
                <w:rFonts w:ascii="Times New Roman" w:hAnsi="Times New Roman"/>
                <w:sz w:val="20"/>
                <w:szCs w:val="20"/>
              </w:rPr>
              <w:t>, если это не противоречит нормативным и правовым документам ЕЭК, которые определяют структуру технических регламентов ЕАЭС.</w:t>
            </w:r>
          </w:p>
        </w:tc>
      </w:tr>
      <w:tr w:rsidR="004204CD" w:rsidRPr="001F40A2" w14:paraId="7C202357" w14:textId="77777777" w:rsidTr="004204CD">
        <w:trPr>
          <w:jc w:val="center"/>
        </w:trPr>
        <w:tc>
          <w:tcPr>
            <w:tcW w:w="648" w:type="dxa"/>
          </w:tcPr>
          <w:p w14:paraId="0770AC13"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10</w:t>
            </w:r>
          </w:p>
        </w:tc>
        <w:tc>
          <w:tcPr>
            <w:tcW w:w="4140" w:type="dxa"/>
          </w:tcPr>
          <w:p w14:paraId="0885F6A0"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sz w:val="20"/>
                <w:szCs w:val="20"/>
              </w:rPr>
              <w:t>10. Приложение 1:</w:t>
            </w:r>
          </w:p>
          <w:p w14:paraId="16530190"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sz w:val="20"/>
                <w:szCs w:val="20"/>
              </w:rPr>
              <w:t>а) в заголовке таблицы после слов «взрывчатых веществ» дополнить словами «и изделий на их основе»;</w:t>
            </w:r>
          </w:p>
          <w:p w14:paraId="096FB5F3"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sz w:val="20"/>
                <w:szCs w:val="20"/>
              </w:rPr>
              <w:t>б) в заголовке столбца 3 таблицы после слов «взрывчатых веществ» дополнить словами «и изделий на их основе»;</w:t>
            </w:r>
          </w:p>
          <w:p w14:paraId="1DA3ED71"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sz w:val="20"/>
                <w:szCs w:val="20"/>
              </w:rPr>
              <w:t>в) заголовок столбца 4 таблицы изложить в следующей редакции:</w:t>
            </w:r>
          </w:p>
          <w:p w14:paraId="34D8CA70"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sz w:val="20"/>
                <w:szCs w:val="20"/>
              </w:rPr>
              <w:t>«Цвет отличительной полосы на упаковке взрывчатых веществ и изделий на их основе и оболочках патронов (пачек)».</w:t>
            </w:r>
          </w:p>
        </w:tc>
        <w:tc>
          <w:tcPr>
            <w:tcW w:w="4795" w:type="dxa"/>
            <w:gridSpan w:val="2"/>
          </w:tcPr>
          <w:p w14:paraId="7BDB01FA" w14:textId="77777777" w:rsidR="004204CD" w:rsidRPr="001F40A2" w:rsidRDefault="004204CD" w:rsidP="001F40A2">
            <w:pPr>
              <w:spacing w:after="0" w:line="240" w:lineRule="auto"/>
              <w:rPr>
                <w:rFonts w:ascii="Times New Roman" w:hAnsi="Times New Roman"/>
                <w:b/>
                <w:sz w:val="20"/>
                <w:szCs w:val="20"/>
              </w:rPr>
            </w:pPr>
            <w:r w:rsidRPr="001F40A2">
              <w:rPr>
                <w:rFonts w:ascii="Times New Roman" w:hAnsi="Times New Roman"/>
                <w:b/>
                <w:sz w:val="20"/>
                <w:szCs w:val="20"/>
              </w:rPr>
              <w:t>Нет возражений</w:t>
            </w:r>
          </w:p>
          <w:p w14:paraId="1BE7C51D"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b/>
                <w:sz w:val="20"/>
                <w:szCs w:val="20"/>
              </w:rPr>
              <w:t xml:space="preserve">Дополнительно предлагается в тексте столбца 3 для классов </w:t>
            </w:r>
            <w:r w:rsidRPr="001F40A2">
              <w:rPr>
                <w:rFonts w:ascii="Times New Roman" w:hAnsi="Times New Roman"/>
                <w:b/>
                <w:sz w:val="20"/>
                <w:szCs w:val="20"/>
                <w:lang w:val="en-US"/>
              </w:rPr>
              <w:t>I</w:t>
            </w:r>
            <w:r w:rsidRPr="001F40A2">
              <w:rPr>
                <w:rFonts w:ascii="Times New Roman" w:hAnsi="Times New Roman"/>
                <w:b/>
                <w:sz w:val="20"/>
                <w:szCs w:val="20"/>
              </w:rPr>
              <w:t xml:space="preserve"> – </w:t>
            </w:r>
            <w:r w:rsidRPr="001F40A2">
              <w:rPr>
                <w:rFonts w:ascii="Times New Roman" w:hAnsi="Times New Roman"/>
                <w:b/>
                <w:sz w:val="20"/>
                <w:szCs w:val="20"/>
                <w:lang w:val="en-US"/>
              </w:rPr>
              <w:t>VII</w:t>
            </w:r>
            <w:r w:rsidRPr="001F40A2">
              <w:rPr>
                <w:rFonts w:ascii="Times New Roman" w:hAnsi="Times New Roman"/>
                <w:b/>
                <w:sz w:val="20"/>
                <w:szCs w:val="20"/>
              </w:rPr>
              <w:t xml:space="preserve"> после слов «взрывчатые вещества» дополнить словами «и изделия на их основе»  </w:t>
            </w:r>
          </w:p>
        </w:tc>
      </w:tr>
      <w:tr w:rsidR="004204CD" w:rsidRPr="001F40A2" w14:paraId="1F88B214" w14:textId="77777777" w:rsidTr="004204CD">
        <w:trPr>
          <w:jc w:val="center"/>
        </w:trPr>
        <w:tc>
          <w:tcPr>
            <w:tcW w:w="648" w:type="dxa"/>
          </w:tcPr>
          <w:p w14:paraId="77F8B75D"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11</w:t>
            </w:r>
          </w:p>
        </w:tc>
        <w:tc>
          <w:tcPr>
            <w:tcW w:w="4140" w:type="dxa"/>
          </w:tcPr>
          <w:p w14:paraId="1B9F673E"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 xml:space="preserve">11. Приложения 2 и 3 изложить в соответствии и типовыми правилами </w:t>
            </w:r>
            <w:r w:rsidRPr="001F40A2">
              <w:rPr>
                <w:rFonts w:ascii="Times New Roman" w:hAnsi="Times New Roman"/>
                <w:sz w:val="20"/>
                <w:szCs w:val="20"/>
              </w:rPr>
              <w:lastRenderedPageBreak/>
              <w:t>Организации Объединенных Наций</w:t>
            </w:r>
          </w:p>
        </w:tc>
        <w:tc>
          <w:tcPr>
            <w:tcW w:w="4795" w:type="dxa"/>
            <w:gridSpan w:val="2"/>
          </w:tcPr>
          <w:p w14:paraId="4D48841F" w14:textId="77777777" w:rsidR="004204CD" w:rsidRPr="001F40A2" w:rsidRDefault="004204CD" w:rsidP="001F40A2">
            <w:pPr>
              <w:spacing w:after="0" w:line="240" w:lineRule="auto"/>
              <w:rPr>
                <w:rFonts w:ascii="Times New Roman" w:hAnsi="Times New Roman"/>
                <w:b/>
                <w:sz w:val="20"/>
                <w:szCs w:val="20"/>
              </w:rPr>
            </w:pPr>
            <w:r w:rsidRPr="001F40A2">
              <w:rPr>
                <w:rFonts w:ascii="Times New Roman" w:hAnsi="Times New Roman"/>
                <w:b/>
                <w:sz w:val="20"/>
                <w:szCs w:val="20"/>
              </w:rPr>
              <w:lastRenderedPageBreak/>
              <w:t>Нет возражений</w:t>
            </w:r>
          </w:p>
          <w:p w14:paraId="720187DA" w14:textId="77777777" w:rsidR="004204CD" w:rsidRPr="001F40A2" w:rsidRDefault="004204CD" w:rsidP="001F40A2">
            <w:pPr>
              <w:spacing w:after="0" w:line="240" w:lineRule="auto"/>
              <w:rPr>
                <w:rFonts w:ascii="Times New Roman" w:hAnsi="Times New Roman"/>
                <w:sz w:val="20"/>
                <w:szCs w:val="20"/>
              </w:rPr>
            </w:pPr>
          </w:p>
        </w:tc>
      </w:tr>
      <w:tr w:rsidR="004204CD" w:rsidRPr="001F40A2" w14:paraId="5DF00325" w14:textId="77777777" w:rsidTr="004204CD">
        <w:trPr>
          <w:jc w:val="center"/>
        </w:trPr>
        <w:tc>
          <w:tcPr>
            <w:tcW w:w="648" w:type="dxa"/>
          </w:tcPr>
          <w:p w14:paraId="5A247325"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lastRenderedPageBreak/>
              <w:t>12</w:t>
            </w:r>
          </w:p>
        </w:tc>
        <w:tc>
          <w:tcPr>
            <w:tcW w:w="4140" w:type="dxa"/>
          </w:tcPr>
          <w:p w14:paraId="43623007"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12. В приложении 4 строку 9 изложить в редакции: «Критическая плотность для водосодержащих взрывчатых веществ».</w:t>
            </w:r>
          </w:p>
        </w:tc>
        <w:tc>
          <w:tcPr>
            <w:tcW w:w="4795" w:type="dxa"/>
            <w:gridSpan w:val="2"/>
          </w:tcPr>
          <w:p w14:paraId="28D9515D"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b/>
                <w:sz w:val="20"/>
                <w:szCs w:val="20"/>
              </w:rPr>
              <w:t>Изменение не поддерживается</w:t>
            </w:r>
            <w:r w:rsidRPr="001F40A2">
              <w:rPr>
                <w:rFonts w:ascii="Times New Roman" w:hAnsi="Times New Roman"/>
                <w:sz w:val="20"/>
                <w:szCs w:val="20"/>
              </w:rPr>
              <w:t xml:space="preserve">, так как показатель «Критическая плотность» имеет важное значение для безопасности не только водосодержащих взрывчатых веществ. Пренебрежение к показателю «Критическая плотность» может привести к отказам на местах ведения взрывных работ в случае переуплотнения гранулированных взрывчатых составов при пневмозаряжании и переуплотнения патронов (слеживание) порошкообразных взрывчатых веществ.  </w:t>
            </w:r>
          </w:p>
        </w:tc>
      </w:tr>
      <w:tr w:rsidR="004204CD" w:rsidRPr="001F40A2" w14:paraId="1010F9E8" w14:textId="77777777" w:rsidTr="004204CD">
        <w:trPr>
          <w:jc w:val="center"/>
        </w:trPr>
        <w:tc>
          <w:tcPr>
            <w:tcW w:w="648" w:type="dxa"/>
          </w:tcPr>
          <w:p w14:paraId="5BB57DED"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13</w:t>
            </w:r>
          </w:p>
        </w:tc>
        <w:tc>
          <w:tcPr>
            <w:tcW w:w="4140" w:type="dxa"/>
          </w:tcPr>
          <w:p w14:paraId="5CACE4FB"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13. Приложение 6:</w:t>
            </w:r>
          </w:p>
          <w:p w14:paraId="6FD962FF"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sz w:val="20"/>
                <w:szCs w:val="20"/>
              </w:rPr>
              <w:t>а) в таблице слова «Серийный номер ООН» заменить словами «Номер ООН»;</w:t>
            </w:r>
          </w:p>
          <w:p w14:paraId="01B7CD79"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sz w:val="20"/>
                <w:szCs w:val="20"/>
              </w:rPr>
              <w:t>б) строку «Дополнительные требования» исключить;</w:t>
            </w:r>
          </w:p>
          <w:p w14:paraId="03523F9A"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sz w:val="20"/>
                <w:szCs w:val="20"/>
              </w:rPr>
              <w:t>в) строки «Изготовитель (изготовители)» и «Свидетельство</w:t>
            </w:r>
          </w:p>
          <w:p w14:paraId="055EA39C"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sz w:val="20"/>
                <w:szCs w:val="20"/>
              </w:rPr>
              <w:t>о государственной регистрации» исключить.</w:t>
            </w:r>
          </w:p>
          <w:p w14:paraId="1AB745AD" w14:textId="77777777" w:rsidR="004204CD" w:rsidRPr="001F40A2" w:rsidRDefault="004204CD" w:rsidP="001F40A2">
            <w:pPr>
              <w:spacing w:after="0" w:line="240" w:lineRule="auto"/>
              <w:jc w:val="both"/>
              <w:rPr>
                <w:rFonts w:ascii="Times New Roman" w:hAnsi="Times New Roman"/>
                <w:sz w:val="20"/>
                <w:szCs w:val="20"/>
              </w:rPr>
            </w:pPr>
            <w:r w:rsidRPr="001F40A2">
              <w:rPr>
                <w:rFonts w:ascii="Times New Roman" w:hAnsi="Times New Roman"/>
                <w:sz w:val="20"/>
                <w:szCs w:val="20"/>
              </w:rPr>
              <w:t>г) в строке «Код ТН ВЭД ТС» аббревиатуру «ТС» заменить на «ЕАЭС».»</w:t>
            </w:r>
          </w:p>
        </w:tc>
        <w:tc>
          <w:tcPr>
            <w:tcW w:w="4795" w:type="dxa"/>
            <w:gridSpan w:val="2"/>
          </w:tcPr>
          <w:p w14:paraId="03F8BDEE" w14:textId="77777777" w:rsidR="004204CD" w:rsidRPr="001F40A2" w:rsidRDefault="004204CD" w:rsidP="001F40A2">
            <w:pPr>
              <w:spacing w:after="0" w:line="240" w:lineRule="auto"/>
              <w:rPr>
                <w:rFonts w:ascii="Times New Roman" w:hAnsi="Times New Roman"/>
                <w:b/>
                <w:sz w:val="20"/>
                <w:szCs w:val="20"/>
              </w:rPr>
            </w:pPr>
            <w:r w:rsidRPr="001F40A2">
              <w:rPr>
                <w:rFonts w:ascii="Times New Roman" w:hAnsi="Times New Roman"/>
                <w:b/>
                <w:sz w:val="20"/>
                <w:szCs w:val="20"/>
              </w:rPr>
              <w:t>Изменение б) не поддерживается!</w:t>
            </w:r>
          </w:p>
          <w:p w14:paraId="789B0313"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В строку «Дополнительные требования» могут быть вписаны важные особые условия, связанные с безопасностью использования взрывчатых веществ и изделий на их основе, которые были выявлены в процессе контрольных или приемочных испытаний. Это предотвратит потенциальное введение изготовителем (импортером) в заблуждение потребителей путем исключения данных особых условий из сопроводительной нормативной документации.</w:t>
            </w:r>
          </w:p>
          <w:p w14:paraId="6DD1ED84"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В практике неоднократно встречаются Разрешения, выданные уполномоченным органом в области промышленной безопасности Российской Федерации с соответствующей информацией, внесенной в строку «Дополнительные требования».</w:t>
            </w:r>
          </w:p>
          <w:p w14:paraId="2991E1E8" w14:textId="77777777" w:rsidR="004204CD" w:rsidRPr="001F40A2" w:rsidRDefault="004204CD" w:rsidP="001F40A2">
            <w:pPr>
              <w:spacing w:after="0" w:line="240" w:lineRule="auto"/>
              <w:rPr>
                <w:rFonts w:ascii="Times New Roman" w:hAnsi="Times New Roman"/>
                <w:b/>
                <w:sz w:val="20"/>
                <w:szCs w:val="20"/>
              </w:rPr>
            </w:pPr>
            <w:r w:rsidRPr="001F40A2">
              <w:rPr>
                <w:rFonts w:ascii="Times New Roman" w:hAnsi="Times New Roman"/>
                <w:b/>
                <w:sz w:val="20"/>
                <w:szCs w:val="20"/>
              </w:rPr>
              <w:t>Изменение в) не поддерживается!</w:t>
            </w:r>
          </w:p>
          <w:p w14:paraId="5C944BFC"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 xml:space="preserve">Во всех документах на любую продукцию, в том числе документах по подтверждению соответствия, таможенных документах, транспортных, нормативных документах и прочих документах на продукцию указывается изготовитель данной продукции. </w:t>
            </w:r>
          </w:p>
          <w:p w14:paraId="4033E00F"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Данное требование позволяет предупреждать действия, вводящие в заблуждение потребителей данной продукции, обеспечивать защиту внутреннего рынка ЕАЭС, обеспечивать прозрачность процедур подтверждения соответствия продукции.</w:t>
            </w:r>
          </w:p>
          <w:p w14:paraId="21276D4D"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Так, например, европейская продукция выпускается без использования стандартов и технических условий, что в случае отсутствия строки «Изготовитель (изготовители)» затрудняет ее идентификацию.</w:t>
            </w:r>
          </w:p>
          <w:p w14:paraId="0098F240"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 xml:space="preserve">Основной угрозой для внутреннего рынка ЕАЭС, в случае исключения из формы Разрешения строки «Изготовитель (изготовители)» является неконтролируемый наплыв взрывчатых веществ и изделий на их основе  сомнительного качества из КНР, которые не имеют торговых названий и могут импортироваться под общей классификацией. Это связано с тем, что взрывчатые вещества и изделий на их основе  из КНР выпускаются по единым государственным стандартам для каждого вида продукции и могут не иметь торговых названий и/или марок продукции. Поэтому достаточно одного Разрешения на применение без строки «Изготовитель (изготовители)», чтобы на рынок ЕАЭС хлынул неконтролируемый поток разной продукции сомнительного качества от разных изготовителей по демпинговым ценам. Данное обстоятельство причинит значительный ущерб </w:t>
            </w:r>
            <w:r w:rsidRPr="001F40A2">
              <w:rPr>
                <w:rFonts w:ascii="Times New Roman" w:hAnsi="Times New Roman"/>
                <w:sz w:val="20"/>
                <w:szCs w:val="20"/>
              </w:rPr>
              <w:lastRenderedPageBreak/>
              <w:t xml:space="preserve">отечественным товаропроизводителям данной отрасли. </w:t>
            </w:r>
          </w:p>
          <w:p w14:paraId="06923B79"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Кроме того, в виду того, что в процессе подтверждения соответствия взрывчатых веществ и изделий на их основе невозможно оценить особенности безопасного применения продукции в конкретных производственных условиях, в отличие от процедуры проведения приемочных испытаний при оформлении Разрешения на применение, сохраняется опасность причинения вреда жизни и здоровью человека, имущества, окружающей среды, жизни и (или) здоровья животных и растений.</w:t>
            </w:r>
          </w:p>
          <w:p w14:paraId="3300499B"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sz w:val="20"/>
                <w:szCs w:val="20"/>
              </w:rPr>
              <w:t>Еще не исключен риск использования недобросовестными изготовителями чужой интеллектуальной собственности в виде стандартов предприятий и (или) ТУ в целях избежания процедуры оформления Разрешения на применение, что может повлечь дополнительные жалобы и юридические разбирательства между участниками рынка, данные действия приведут к дополнительным излишним нагрузкам на государственные структуры.</w:t>
            </w:r>
          </w:p>
          <w:p w14:paraId="2D148A93" w14:textId="77777777" w:rsidR="004204CD" w:rsidRPr="001F40A2" w:rsidRDefault="004204CD" w:rsidP="001F40A2">
            <w:pPr>
              <w:spacing w:after="0" w:line="240" w:lineRule="auto"/>
              <w:jc w:val="both"/>
              <w:rPr>
                <w:rFonts w:ascii="Times New Roman" w:hAnsi="Times New Roman"/>
                <w:b/>
                <w:sz w:val="20"/>
                <w:szCs w:val="20"/>
              </w:rPr>
            </w:pPr>
            <w:r w:rsidRPr="001F40A2">
              <w:rPr>
                <w:rFonts w:ascii="Times New Roman" w:hAnsi="Times New Roman"/>
                <w:b/>
                <w:sz w:val="20"/>
                <w:szCs w:val="20"/>
              </w:rPr>
              <w:t>В итоге можно сделать вывод, что предлагаемое изменение в), дестабилизирует внутренний рынок ЕАЭС и создаст дополнительные условия для угрозы жизни и здоровью человека, имущества, окружающей среды, жизни и (или) здоровья животных и растений, ослабит контроль (надзор) за безопасностью взрывчатые вещества и изделий на их основе  со стороны уполномоченных органов в области промышленной безопасности государств-членов Союза (за последние 3 года только в Казахстане произошло 5 инцидентов, в том числе со смертельным исходом, связанных с использованием взрывчатые вещества и изделий на их основе)!</w:t>
            </w:r>
          </w:p>
          <w:p w14:paraId="081501A2" w14:textId="77777777" w:rsidR="004204CD" w:rsidRPr="001F40A2" w:rsidRDefault="004204CD" w:rsidP="001F40A2">
            <w:pPr>
              <w:spacing w:after="0" w:line="240" w:lineRule="auto"/>
              <w:rPr>
                <w:rFonts w:ascii="Times New Roman" w:hAnsi="Times New Roman"/>
                <w:sz w:val="20"/>
                <w:szCs w:val="20"/>
              </w:rPr>
            </w:pPr>
            <w:r w:rsidRPr="001F40A2">
              <w:rPr>
                <w:rFonts w:ascii="Times New Roman" w:hAnsi="Times New Roman"/>
                <w:b/>
                <w:sz w:val="20"/>
                <w:szCs w:val="20"/>
              </w:rPr>
              <w:t>К изменениям а), г) нет возражений</w:t>
            </w:r>
          </w:p>
        </w:tc>
      </w:tr>
    </w:tbl>
    <w:p w14:paraId="16CE830A" w14:textId="77777777" w:rsidR="001F40A2" w:rsidRDefault="001F40A2" w:rsidP="001F40A2">
      <w:pPr>
        <w:spacing w:after="0"/>
        <w:rPr>
          <w:rFonts w:ascii="Times New Roman" w:hAnsi="Times New Roman"/>
          <w:sz w:val="18"/>
          <w:szCs w:val="18"/>
        </w:rPr>
      </w:pPr>
    </w:p>
    <w:sectPr w:rsidR="001F40A2" w:rsidSect="00870C0A">
      <w:headerReference w:type="even" r:id="rId8"/>
      <w:footerReference w:type="default" r:id="rId9"/>
      <w:headerReference w:type="first" r:id="rId10"/>
      <w:pgSz w:w="11906" w:h="16838"/>
      <w:pgMar w:top="1134" w:right="566" w:bottom="1134" w:left="1701" w:header="708" w:footer="1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9326C" w14:textId="77777777" w:rsidR="00D60E07" w:rsidRDefault="00D60E07" w:rsidP="00783F71">
      <w:pPr>
        <w:spacing w:after="0" w:line="240" w:lineRule="auto"/>
      </w:pPr>
      <w:r>
        <w:separator/>
      </w:r>
    </w:p>
  </w:endnote>
  <w:endnote w:type="continuationSeparator" w:id="0">
    <w:p w14:paraId="61EE4839" w14:textId="77777777" w:rsidR="00D60E07" w:rsidRDefault="00D60E07" w:rsidP="00783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4863780"/>
      <w:docPartObj>
        <w:docPartGallery w:val="Page Numbers (Bottom of Page)"/>
        <w:docPartUnique/>
      </w:docPartObj>
    </w:sdtPr>
    <w:sdtEndPr/>
    <w:sdtContent>
      <w:p w14:paraId="7197CB1F" w14:textId="4CAE729F" w:rsidR="00A97FB2" w:rsidRDefault="00A07B44" w:rsidP="00A07B44">
        <w:pPr>
          <w:pStyle w:val="ab"/>
          <w:tabs>
            <w:tab w:val="clear" w:pos="9355"/>
            <w:tab w:val="right" w:pos="8460"/>
          </w:tabs>
          <w:ind w:right="3235"/>
          <w:jc w:val="center"/>
        </w:pPr>
        <w:r>
          <w:t xml:space="preserve">                                                                                                              </w:t>
        </w:r>
        <w:r w:rsidR="00870C0A">
          <w:t xml:space="preserve">    </w:t>
        </w:r>
        <w:r>
          <w:t xml:space="preserve"> </w:t>
        </w:r>
        <w:r w:rsidR="00A97FB2">
          <w:fldChar w:fldCharType="begin"/>
        </w:r>
        <w:r w:rsidR="00A97FB2">
          <w:instrText>PAGE   \* MERGEFORMAT</w:instrText>
        </w:r>
        <w:r w:rsidR="00A97FB2">
          <w:fldChar w:fldCharType="separate"/>
        </w:r>
        <w:r w:rsidR="00E30C7D">
          <w:rPr>
            <w:noProof/>
          </w:rPr>
          <w:t>1</w:t>
        </w:r>
        <w:r w:rsidR="00A97FB2">
          <w:fldChar w:fldCharType="end"/>
        </w:r>
      </w:p>
    </w:sdtContent>
  </w:sdt>
  <w:p w14:paraId="09077965" w14:textId="2946891D" w:rsidR="00783F71" w:rsidRDefault="00783F7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27AFF" w14:textId="77777777" w:rsidR="00D60E07" w:rsidRDefault="00D60E07" w:rsidP="00783F71">
      <w:pPr>
        <w:spacing w:after="0" w:line="240" w:lineRule="auto"/>
      </w:pPr>
      <w:r>
        <w:separator/>
      </w:r>
    </w:p>
  </w:footnote>
  <w:footnote w:type="continuationSeparator" w:id="0">
    <w:p w14:paraId="27D1BA51" w14:textId="77777777" w:rsidR="00D60E07" w:rsidRDefault="00D60E07" w:rsidP="00783F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AF03F" w14:textId="20E9D3BA" w:rsidR="00C22985" w:rsidRDefault="00D60E07">
    <w:pPr>
      <w:pStyle w:val="a9"/>
    </w:pPr>
    <w:r>
      <w:rPr>
        <w:noProof/>
      </w:rPr>
      <w:pict w14:anchorId="456C3D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172" o:spid="_x0000_s2050" type="#_x0000_t75" style="position:absolute;margin-left:0;margin-top:0;width:467.5pt;height:125.5pt;z-index:-251657216;mso-position-horizontal:center;mso-position-horizontal-relative:margin;mso-position-vertical:center;mso-position-vertical-relative:margin" o:allowincell="f">
          <v:imagedata r:id="rId1" o:title="Ком пред2019_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234F0" w14:textId="5259B553" w:rsidR="00C22985" w:rsidRDefault="00D60E07">
    <w:pPr>
      <w:pStyle w:val="a9"/>
    </w:pPr>
    <w:r>
      <w:rPr>
        <w:noProof/>
      </w:rPr>
      <w:pict w14:anchorId="568E01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171" o:spid="_x0000_s2049" type="#_x0000_t75" style="position:absolute;margin-left:0;margin-top:0;width:467.5pt;height:125.5pt;z-index:-251658240;mso-position-horizontal:center;mso-position-horizontal-relative:margin;mso-position-vertical:center;mso-position-vertical-relative:margin" o:allowincell="f">
          <v:imagedata r:id="rId1" o:title="Ком пред2019_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Arial" w:hAnsi="Arial" w:cs="Arial"/>
        <w:b w:val="0"/>
        <w:bCs w:val="0"/>
        <w:i w:val="0"/>
        <w:iCs w:val="0"/>
        <w:smallCaps w:val="0"/>
        <w:strike w:val="0"/>
        <w:color w:val="364652"/>
        <w:spacing w:val="0"/>
        <w:w w:val="100"/>
        <w:position w:val="0"/>
        <w:sz w:val="16"/>
        <w:szCs w:val="16"/>
        <w:u w:val="none"/>
      </w:rPr>
    </w:lvl>
    <w:lvl w:ilvl="1">
      <w:start w:val="1"/>
      <w:numFmt w:val="decimal"/>
      <w:lvlText w:val="%1."/>
      <w:lvlJc w:val="left"/>
      <w:rPr>
        <w:rFonts w:ascii="Arial" w:hAnsi="Arial" w:cs="Arial"/>
        <w:b w:val="0"/>
        <w:bCs w:val="0"/>
        <w:i w:val="0"/>
        <w:iCs w:val="0"/>
        <w:smallCaps w:val="0"/>
        <w:strike w:val="0"/>
        <w:color w:val="364652"/>
        <w:spacing w:val="0"/>
        <w:w w:val="100"/>
        <w:position w:val="0"/>
        <w:sz w:val="16"/>
        <w:szCs w:val="16"/>
        <w:u w:val="none"/>
      </w:rPr>
    </w:lvl>
    <w:lvl w:ilvl="2">
      <w:start w:val="1"/>
      <w:numFmt w:val="decimal"/>
      <w:lvlText w:val="%1."/>
      <w:lvlJc w:val="left"/>
      <w:rPr>
        <w:rFonts w:ascii="Arial" w:hAnsi="Arial" w:cs="Arial"/>
        <w:b w:val="0"/>
        <w:bCs w:val="0"/>
        <w:i w:val="0"/>
        <w:iCs w:val="0"/>
        <w:smallCaps w:val="0"/>
        <w:strike w:val="0"/>
        <w:color w:val="364652"/>
        <w:spacing w:val="0"/>
        <w:w w:val="100"/>
        <w:position w:val="0"/>
        <w:sz w:val="16"/>
        <w:szCs w:val="16"/>
        <w:u w:val="none"/>
      </w:rPr>
    </w:lvl>
    <w:lvl w:ilvl="3">
      <w:start w:val="1"/>
      <w:numFmt w:val="decimal"/>
      <w:lvlText w:val="%1."/>
      <w:lvlJc w:val="left"/>
      <w:rPr>
        <w:rFonts w:ascii="Arial" w:hAnsi="Arial" w:cs="Arial"/>
        <w:b w:val="0"/>
        <w:bCs w:val="0"/>
        <w:i w:val="0"/>
        <w:iCs w:val="0"/>
        <w:smallCaps w:val="0"/>
        <w:strike w:val="0"/>
        <w:color w:val="364652"/>
        <w:spacing w:val="0"/>
        <w:w w:val="100"/>
        <w:position w:val="0"/>
        <w:sz w:val="16"/>
        <w:szCs w:val="16"/>
        <w:u w:val="none"/>
      </w:rPr>
    </w:lvl>
    <w:lvl w:ilvl="4">
      <w:start w:val="1"/>
      <w:numFmt w:val="decimal"/>
      <w:lvlText w:val="%1."/>
      <w:lvlJc w:val="left"/>
      <w:rPr>
        <w:rFonts w:ascii="Arial" w:hAnsi="Arial" w:cs="Arial"/>
        <w:b w:val="0"/>
        <w:bCs w:val="0"/>
        <w:i w:val="0"/>
        <w:iCs w:val="0"/>
        <w:smallCaps w:val="0"/>
        <w:strike w:val="0"/>
        <w:color w:val="364652"/>
        <w:spacing w:val="0"/>
        <w:w w:val="100"/>
        <w:position w:val="0"/>
        <w:sz w:val="16"/>
        <w:szCs w:val="16"/>
        <w:u w:val="none"/>
      </w:rPr>
    </w:lvl>
    <w:lvl w:ilvl="5">
      <w:start w:val="1"/>
      <w:numFmt w:val="decimal"/>
      <w:lvlText w:val="%1."/>
      <w:lvlJc w:val="left"/>
      <w:rPr>
        <w:rFonts w:ascii="Arial" w:hAnsi="Arial" w:cs="Arial"/>
        <w:b w:val="0"/>
        <w:bCs w:val="0"/>
        <w:i w:val="0"/>
        <w:iCs w:val="0"/>
        <w:smallCaps w:val="0"/>
        <w:strike w:val="0"/>
        <w:color w:val="364652"/>
        <w:spacing w:val="0"/>
        <w:w w:val="100"/>
        <w:position w:val="0"/>
        <w:sz w:val="16"/>
        <w:szCs w:val="16"/>
        <w:u w:val="none"/>
      </w:rPr>
    </w:lvl>
    <w:lvl w:ilvl="6">
      <w:start w:val="1"/>
      <w:numFmt w:val="decimal"/>
      <w:lvlText w:val="%1."/>
      <w:lvlJc w:val="left"/>
      <w:rPr>
        <w:rFonts w:ascii="Arial" w:hAnsi="Arial" w:cs="Arial"/>
        <w:b w:val="0"/>
        <w:bCs w:val="0"/>
        <w:i w:val="0"/>
        <w:iCs w:val="0"/>
        <w:smallCaps w:val="0"/>
        <w:strike w:val="0"/>
        <w:color w:val="364652"/>
        <w:spacing w:val="0"/>
        <w:w w:val="100"/>
        <w:position w:val="0"/>
        <w:sz w:val="16"/>
        <w:szCs w:val="16"/>
        <w:u w:val="none"/>
      </w:rPr>
    </w:lvl>
    <w:lvl w:ilvl="7">
      <w:start w:val="1"/>
      <w:numFmt w:val="decimal"/>
      <w:lvlText w:val="%1."/>
      <w:lvlJc w:val="left"/>
      <w:rPr>
        <w:rFonts w:ascii="Arial" w:hAnsi="Arial" w:cs="Arial"/>
        <w:b w:val="0"/>
        <w:bCs w:val="0"/>
        <w:i w:val="0"/>
        <w:iCs w:val="0"/>
        <w:smallCaps w:val="0"/>
        <w:strike w:val="0"/>
        <w:color w:val="364652"/>
        <w:spacing w:val="0"/>
        <w:w w:val="100"/>
        <w:position w:val="0"/>
        <w:sz w:val="16"/>
        <w:szCs w:val="16"/>
        <w:u w:val="none"/>
      </w:rPr>
    </w:lvl>
    <w:lvl w:ilvl="8">
      <w:start w:val="1"/>
      <w:numFmt w:val="decimal"/>
      <w:lvlText w:val="%1."/>
      <w:lvlJc w:val="left"/>
      <w:rPr>
        <w:rFonts w:ascii="Arial" w:hAnsi="Arial" w:cs="Arial"/>
        <w:b w:val="0"/>
        <w:bCs w:val="0"/>
        <w:i w:val="0"/>
        <w:iCs w:val="0"/>
        <w:smallCaps w:val="0"/>
        <w:strike w:val="0"/>
        <w:color w:val="364652"/>
        <w:spacing w:val="0"/>
        <w:w w:val="100"/>
        <w:position w:val="0"/>
        <w:sz w:val="16"/>
        <w:szCs w:val="16"/>
        <w:u w:val="none"/>
      </w:rPr>
    </w:lvl>
  </w:abstractNum>
  <w:abstractNum w:abstractNumId="1">
    <w:nsid w:val="0D6334C1"/>
    <w:multiLevelType w:val="hybridMultilevel"/>
    <w:tmpl w:val="62C48AC0"/>
    <w:lvl w:ilvl="0" w:tplc="E85009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2FF632F"/>
    <w:multiLevelType w:val="hybridMultilevel"/>
    <w:tmpl w:val="AC48C2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C25410B"/>
    <w:multiLevelType w:val="hybridMultilevel"/>
    <w:tmpl w:val="73AC2AF2"/>
    <w:lvl w:ilvl="0" w:tplc="E5FA4CDC">
      <w:start w:val="1"/>
      <w:numFmt w:val="decimal"/>
      <w:lvlText w:val="%1."/>
      <w:lvlJc w:val="left"/>
      <w:pPr>
        <w:tabs>
          <w:tab w:val="num" w:pos="720"/>
        </w:tabs>
        <w:ind w:left="720" w:hanging="360"/>
      </w:pPr>
      <w:rPr>
        <w:rFonts w:hint="default"/>
      </w:rPr>
    </w:lvl>
    <w:lvl w:ilvl="1" w:tplc="F3EEBA34">
      <w:numFmt w:val="none"/>
      <w:lvlText w:val=""/>
      <w:lvlJc w:val="left"/>
      <w:pPr>
        <w:tabs>
          <w:tab w:val="num" w:pos="360"/>
        </w:tabs>
      </w:pPr>
    </w:lvl>
    <w:lvl w:ilvl="2" w:tplc="0BD64D96">
      <w:numFmt w:val="none"/>
      <w:lvlText w:val=""/>
      <w:lvlJc w:val="left"/>
      <w:pPr>
        <w:tabs>
          <w:tab w:val="num" w:pos="360"/>
        </w:tabs>
      </w:pPr>
    </w:lvl>
    <w:lvl w:ilvl="3" w:tplc="E452BDF6">
      <w:numFmt w:val="none"/>
      <w:lvlText w:val=""/>
      <w:lvlJc w:val="left"/>
      <w:pPr>
        <w:tabs>
          <w:tab w:val="num" w:pos="360"/>
        </w:tabs>
      </w:pPr>
    </w:lvl>
    <w:lvl w:ilvl="4" w:tplc="3C944464">
      <w:numFmt w:val="none"/>
      <w:lvlText w:val=""/>
      <w:lvlJc w:val="left"/>
      <w:pPr>
        <w:tabs>
          <w:tab w:val="num" w:pos="360"/>
        </w:tabs>
      </w:pPr>
    </w:lvl>
    <w:lvl w:ilvl="5" w:tplc="2244D04E">
      <w:numFmt w:val="none"/>
      <w:lvlText w:val=""/>
      <w:lvlJc w:val="left"/>
      <w:pPr>
        <w:tabs>
          <w:tab w:val="num" w:pos="360"/>
        </w:tabs>
      </w:pPr>
    </w:lvl>
    <w:lvl w:ilvl="6" w:tplc="CC0C798A">
      <w:numFmt w:val="none"/>
      <w:lvlText w:val=""/>
      <w:lvlJc w:val="left"/>
      <w:pPr>
        <w:tabs>
          <w:tab w:val="num" w:pos="360"/>
        </w:tabs>
      </w:pPr>
    </w:lvl>
    <w:lvl w:ilvl="7" w:tplc="2E2E047C">
      <w:numFmt w:val="none"/>
      <w:lvlText w:val=""/>
      <w:lvlJc w:val="left"/>
      <w:pPr>
        <w:tabs>
          <w:tab w:val="num" w:pos="360"/>
        </w:tabs>
      </w:pPr>
    </w:lvl>
    <w:lvl w:ilvl="8" w:tplc="61EE41CC">
      <w:numFmt w:val="none"/>
      <w:lvlText w:val=""/>
      <w:lvlJc w:val="left"/>
      <w:pPr>
        <w:tabs>
          <w:tab w:val="num" w:pos="360"/>
        </w:tabs>
      </w:pPr>
    </w:lvl>
  </w:abstractNum>
  <w:abstractNum w:abstractNumId="4">
    <w:nsid w:val="2E077827"/>
    <w:multiLevelType w:val="hybridMultilevel"/>
    <w:tmpl w:val="83F0163E"/>
    <w:lvl w:ilvl="0" w:tplc="3AA8B3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F8133A3"/>
    <w:multiLevelType w:val="hybridMultilevel"/>
    <w:tmpl w:val="052824F0"/>
    <w:lvl w:ilvl="0" w:tplc="1DDA73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6">
    <w:nsid w:val="4ADD3BED"/>
    <w:multiLevelType w:val="hybridMultilevel"/>
    <w:tmpl w:val="26501F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9541187"/>
    <w:multiLevelType w:val="multilevel"/>
    <w:tmpl w:val="55E8035E"/>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8">
    <w:nsid w:val="6DB74215"/>
    <w:multiLevelType w:val="hybridMultilevel"/>
    <w:tmpl w:val="BFEAFF6C"/>
    <w:lvl w:ilvl="0" w:tplc="04090001">
      <w:start w:val="1"/>
      <w:numFmt w:val="bullet"/>
      <w:lvlText w:val=""/>
      <w:lvlJc w:val="left"/>
      <w:pPr>
        <w:ind w:left="1713" w:hanging="360"/>
      </w:pPr>
      <w:rPr>
        <w:rFonts w:ascii="Symbol" w:hAnsi="Symbol" w:hint="default"/>
      </w:rPr>
    </w:lvl>
    <w:lvl w:ilvl="1" w:tplc="04090003">
      <w:start w:val="1"/>
      <w:numFmt w:val="bullet"/>
      <w:lvlText w:val="o"/>
      <w:lvlJc w:val="left"/>
      <w:pPr>
        <w:ind w:left="2433" w:hanging="360"/>
      </w:pPr>
      <w:rPr>
        <w:rFonts w:ascii="Courier New" w:hAnsi="Courier New" w:hint="default"/>
      </w:rPr>
    </w:lvl>
    <w:lvl w:ilvl="2" w:tplc="04090005">
      <w:start w:val="1"/>
      <w:numFmt w:val="bullet"/>
      <w:lvlText w:val=""/>
      <w:lvlJc w:val="left"/>
      <w:pPr>
        <w:ind w:left="3153" w:hanging="360"/>
      </w:pPr>
      <w:rPr>
        <w:rFonts w:ascii="Wingdings" w:hAnsi="Wingdings" w:hint="default"/>
      </w:rPr>
    </w:lvl>
    <w:lvl w:ilvl="3" w:tplc="04090001">
      <w:start w:val="1"/>
      <w:numFmt w:val="bullet"/>
      <w:lvlText w:val=""/>
      <w:lvlJc w:val="left"/>
      <w:pPr>
        <w:ind w:left="3873" w:hanging="360"/>
      </w:pPr>
      <w:rPr>
        <w:rFonts w:ascii="Symbol" w:hAnsi="Symbol" w:hint="default"/>
      </w:rPr>
    </w:lvl>
    <w:lvl w:ilvl="4" w:tplc="04090003">
      <w:start w:val="1"/>
      <w:numFmt w:val="bullet"/>
      <w:lvlText w:val="o"/>
      <w:lvlJc w:val="left"/>
      <w:pPr>
        <w:ind w:left="4593" w:hanging="360"/>
      </w:pPr>
      <w:rPr>
        <w:rFonts w:ascii="Courier New" w:hAnsi="Courier New" w:hint="default"/>
      </w:rPr>
    </w:lvl>
    <w:lvl w:ilvl="5" w:tplc="04090005">
      <w:start w:val="1"/>
      <w:numFmt w:val="bullet"/>
      <w:lvlText w:val=""/>
      <w:lvlJc w:val="left"/>
      <w:pPr>
        <w:ind w:left="5313" w:hanging="360"/>
      </w:pPr>
      <w:rPr>
        <w:rFonts w:ascii="Wingdings" w:hAnsi="Wingdings" w:hint="default"/>
      </w:rPr>
    </w:lvl>
    <w:lvl w:ilvl="6" w:tplc="04090001">
      <w:start w:val="1"/>
      <w:numFmt w:val="bullet"/>
      <w:lvlText w:val=""/>
      <w:lvlJc w:val="left"/>
      <w:pPr>
        <w:ind w:left="6033" w:hanging="360"/>
      </w:pPr>
      <w:rPr>
        <w:rFonts w:ascii="Symbol" w:hAnsi="Symbol" w:hint="default"/>
      </w:rPr>
    </w:lvl>
    <w:lvl w:ilvl="7" w:tplc="04090003">
      <w:start w:val="1"/>
      <w:numFmt w:val="bullet"/>
      <w:lvlText w:val="o"/>
      <w:lvlJc w:val="left"/>
      <w:pPr>
        <w:ind w:left="6753" w:hanging="360"/>
      </w:pPr>
      <w:rPr>
        <w:rFonts w:ascii="Courier New" w:hAnsi="Courier New" w:hint="default"/>
      </w:rPr>
    </w:lvl>
    <w:lvl w:ilvl="8" w:tplc="04090005">
      <w:start w:val="1"/>
      <w:numFmt w:val="bullet"/>
      <w:lvlText w:val=""/>
      <w:lvlJc w:val="left"/>
      <w:pPr>
        <w:ind w:left="7473" w:hanging="360"/>
      </w:pPr>
      <w:rPr>
        <w:rFonts w:ascii="Wingdings" w:hAnsi="Wingdings" w:hint="default"/>
      </w:rPr>
    </w:lvl>
  </w:abstractNum>
  <w:abstractNum w:abstractNumId="9">
    <w:nsid w:val="795A4659"/>
    <w:multiLevelType w:val="hybridMultilevel"/>
    <w:tmpl w:val="174E4CA0"/>
    <w:lvl w:ilvl="0" w:tplc="C6CAAF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C220A07"/>
    <w:multiLevelType w:val="hybridMultilevel"/>
    <w:tmpl w:val="6CD6AABC"/>
    <w:lvl w:ilvl="0" w:tplc="2ADEF0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6"/>
  </w:num>
  <w:num w:numId="3">
    <w:abstractNumId w:val="8"/>
  </w:num>
  <w:num w:numId="4">
    <w:abstractNumId w:val="1"/>
  </w:num>
  <w:num w:numId="5">
    <w:abstractNumId w:val="9"/>
  </w:num>
  <w:num w:numId="6">
    <w:abstractNumId w:val="0"/>
  </w:num>
  <w:num w:numId="7">
    <w:abstractNumId w:val="5"/>
  </w:num>
  <w:num w:numId="8">
    <w:abstractNumId w:val="10"/>
  </w:num>
  <w:num w:numId="9">
    <w:abstractNumId w:val="3"/>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586"/>
    <w:rsid w:val="00001796"/>
    <w:rsid w:val="00020AF7"/>
    <w:rsid w:val="00020B17"/>
    <w:rsid w:val="00031B3A"/>
    <w:rsid w:val="00035418"/>
    <w:rsid w:val="00037042"/>
    <w:rsid w:val="00040150"/>
    <w:rsid w:val="00045EA2"/>
    <w:rsid w:val="00051F30"/>
    <w:rsid w:val="00076D11"/>
    <w:rsid w:val="000A5009"/>
    <w:rsid w:val="000A74EE"/>
    <w:rsid w:val="000B20DE"/>
    <w:rsid w:val="000B6749"/>
    <w:rsid w:val="000C0F45"/>
    <w:rsid w:val="000E07A9"/>
    <w:rsid w:val="000E1C35"/>
    <w:rsid w:val="000E28D1"/>
    <w:rsid w:val="000F1164"/>
    <w:rsid w:val="000F1554"/>
    <w:rsid w:val="001232A6"/>
    <w:rsid w:val="001242AD"/>
    <w:rsid w:val="00127398"/>
    <w:rsid w:val="00132CA3"/>
    <w:rsid w:val="00140451"/>
    <w:rsid w:val="001430EC"/>
    <w:rsid w:val="001479A1"/>
    <w:rsid w:val="00147EB9"/>
    <w:rsid w:val="001707B3"/>
    <w:rsid w:val="00171FAB"/>
    <w:rsid w:val="0018515B"/>
    <w:rsid w:val="001951B9"/>
    <w:rsid w:val="001A6B79"/>
    <w:rsid w:val="001A7A76"/>
    <w:rsid w:val="001B58CF"/>
    <w:rsid w:val="001B608F"/>
    <w:rsid w:val="001B7103"/>
    <w:rsid w:val="001C776B"/>
    <w:rsid w:val="001D422E"/>
    <w:rsid w:val="001D53EC"/>
    <w:rsid w:val="001E594C"/>
    <w:rsid w:val="001F40A2"/>
    <w:rsid w:val="001F4AD1"/>
    <w:rsid w:val="00205815"/>
    <w:rsid w:val="002078FF"/>
    <w:rsid w:val="00210ADE"/>
    <w:rsid w:val="0021643F"/>
    <w:rsid w:val="00222D21"/>
    <w:rsid w:val="00226101"/>
    <w:rsid w:val="0023741E"/>
    <w:rsid w:val="002431F1"/>
    <w:rsid w:val="002433B3"/>
    <w:rsid w:val="00254586"/>
    <w:rsid w:val="00254B38"/>
    <w:rsid w:val="00260D8D"/>
    <w:rsid w:val="0026185A"/>
    <w:rsid w:val="00267921"/>
    <w:rsid w:val="002803C7"/>
    <w:rsid w:val="00282913"/>
    <w:rsid w:val="0028398F"/>
    <w:rsid w:val="002875C1"/>
    <w:rsid w:val="002901B5"/>
    <w:rsid w:val="002902AC"/>
    <w:rsid w:val="00291A24"/>
    <w:rsid w:val="00293535"/>
    <w:rsid w:val="00294B10"/>
    <w:rsid w:val="00294CD0"/>
    <w:rsid w:val="002A0153"/>
    <w:rsid w:val="002A7FB9"/>
    <w:rsid w:val="002B4C33"/>
    <w:rsid w:val="002C28A5"/>
    <w:rsid w:val="002C3AE2"/>
    <w:rsid w:val="002E1F78"/>
    <w:rsid w:val="002E71D8"/>
    <w:rsid w:val="002F7FC2"/>
    <w:rsid w:val="00301041"/>
    <w:rsid w:val="003017F4"/>
    <w:rsid w:val="00302BAB"/>
    <w:rsid w:val="00311EB1"/>
    <w:rsid w:val="003264FE"/>
    <w:rsid w:val="00350AE5"/>
    <w:rsid w:val="00350C0F"/>
    <w:rsid w:val="00352ECC"/>
    <w:rsid w:val="00354D86"/>
    <w:rsid w:val="00355F0B"/>
    <w:rsid w:val="00356DB9"/>
    <w:rsid w:val="00376A5C"/>
    <w:rsid w:val="003809DF"/>
    <w:rsid w:val="003825B6"/>
    <w:rsid w:val="00396559"/>
    <w:rsid w:val="00396EF8"/>
    <w:rsid w:val="003A12A8"/>
    <w:rsid w:val="003A50A3"/>
    <w:rsid w:val="003A5ECC"/>
    <w:rsid w:val="003B68A2"/>
    <w:rsid w:val="003B6FB7"/>
    <w:rsid w:val="003C0C20"/>
    <w:rsid w:val="003C66DD"/>
    <w:rsid w:val="003C7B03"/>
    <w:rsid w:val="003D2B1A"/>
    <w:rsid w:val="003D320A"/>
    <w:rsid w:val="004023D7"/>
    <w:rsid w:val="004053A6"/>
    <w:rsid w:val="004132CD"/>
    <w:rsid w:val="00414531"/>
    <w:rsid w:val="00416BD3"/>
    <w:rsid w:val="004204CD"/>
    <w:rsid w:val="00423C14"/>
    <w:rsid w:val="004305CF"/>
    <w:rsid w:val="00433860"/>
    <w:rsid w:val="00435129"/>
    <w:rsid w:val="004425F8"/>
    <w:rsid w:val="00462D3C"/>
    <w:rsid w:val="00463827"/>
    <w:rsid w:val="00472599"/>
    <w:rsid w:val="00473DE2"/>
    <w:rsid w:val="004841B0"/>
    <w:rsid w:val="00496C3B"/>
    <w:rsid w:val="004A10DD"/>
    <w:rsid w:val="004A54F4"/>
    <w:rsid w:val="004C1EE8"/>
    <w:rsid w:val="004C4FB5"/>
    <w:rsid w:val="004C7158"/>
    <w:rsid w:val="004D03D0"/>
    <w:rsid w:val="004D2890"/>
    <w:rsid w:val="004D640F"/>
    <w:rsid w:val="004E5FEB"/>
    <w:rsid w:val="004F17DC"/>
    <w:rsid w:val="004F401B"/>
    <w:rsid w:val="005163E4"/>
    <w:rsid w:val="00516837"/>
    <w:rsid w:val="00521456"/>
    <w:rsid w:val="00525FF7"/>
    <w:rsid w:val="005448FB"/>
    <w:rsid w:val="00546B9F"/>
    <w:rsid w:val="0056452E"/>
    <w:rsid w:val="00571DA9"/>
    <w:rsid w:val="00572CAB"/>
    <w:rsid w:val="00583FE5"/>
    <w:rsid w:val="00584D28"/>
    <w:rsid w:val="005931B3"/>
    <w:rsid w:val="005A3200"/>
    <w:rsid w:val="005A3CDE"/>
    <w:rsid w:val="005A4351"/>
    <w:rsid w:val="005B1CDA"/>
    <w:rsid w:val="005B3AC5"/>
    <w:rsid w:val="005B602C"/>
    <w:rsid w:val="005C20BE"/>
    <w:rsid w:val="005D6B35"/>
    <w:rsid w:val="005E5905"/>
    <w:rsid w:val="005F5751"/>
    <w:rsid w:val="00603A14"/>
    <w:rsid w:val="00610F73"/>
    <w:rsid w:val="006179AF"/>
    <w:rsid w:val="00621CEB"/>
    <w:rsid w:val="00626AF3"/>
    <w:rsid w:val="00635998"/>
    <w:rsid w:val="00637B94"/>
    <w:rsid w:val="00645F6D"/>
    <w:rsid w:val="006462B8"/>
    <w:rsid w:val="00651A85"/>
    <w:rsid w:val="00667F42"/>
    <w:rsid w:val="0067051B"/>
    <w:rsid w:val="006712A6"/>
    <w:rsid w:val="00673277"/>
    <w:rsid w:val="00681C04"/>
    <w:rsid w:val="00692380"/>
    <w:rsid w:val="00692DB2"/>
    <w:rsid w:val="006931E9"/>
    <w:rsid w:val="00695FE4"/>
    <w:rsid w:val="006A3586"/>
    <w:rsid w:val="006A41A8"/>
    <w:rsid w:val="006A4C1F"/>
    <w:rsid w:val="006A56A1"/>
    <w:rsid w:val="006A6642"/>
    <w:rsid w:val="006A7882"/>
    <w:rsid w:val="006C0223"/>
    <w:rsid w:val="006C5596"/>
    <w:rsid w:val="006D004D"/>
    <w:rsid w:val="006E225F"/>
    <w:rsid w:val="006E79FF"/>
    <w:rsid w:val="006F2577"/>
    <w:rsid w:val="006F2D3F"/>
    <w:rsid w:val="006F5EFD"/>
    <w:rsid w:val="00700F73"/>
    <w:rsid w:val="00706C2D"/>
    <w:rsid w:val="0072243E"/>
    <w:rsid w:val="00744766"/>
    <w:rsid w:val="00765F41"/>
    <w:rsid w:val="00767DAE"/>
    <w:rsid w:val="0078208B"/>
    <w:rsid w:val="0078263F"/>
    <w:rsid w:val="00783F71"/>
    <w:rsid w:val="00795554"/>
    <w:rsid w:val="007A0C7F"/>
    <w:rsid w:val="007A6FA4"/>
    <w:rsid w:val="007C62EB"/>
    <w:rsid w:val="007C6691"/>
    <w:rsid w:val="007C7B1C"/>
    <w:rsid w:val="007E5B7E"/>
    <w:rsid w:val="007E6AD8"/>
    <w:rsid w:val="007F1308"/>
    <w:rsid w:val="007F36FF"/>
    <w:rsid w:val="007F4062"/>
    <w:rsid w:val="007F4541"/>
    <w:rsid w:val="007F4D6B"/>
    <w:rsid w:val="008078F8"/>
    <w:rsid w:val="00813866"/>
    <w:rsid w:val="008222DD"/>
    <w:rsid w:val="008223F5"/>
    <w:rsid w:val="00826478"/>
    <w:rsid w:val="00827A69"/>
    <w:rsid w:val="008316E1"/>
    <w:rsid w:val="008414A6"/>
    <w:rsid w:val="008423BD"/>
    <w:rsid w:val="00843027"/>
    <w:rsid w:val="00847BE0"/>
    <w:rsid w:val="008511EF"/>
    <w:rsid w:val="00855358"/>
    <w:rsid w:val="00870392"/>
    <w:rsid w:val="00870C0A"/>
    <w:rsid w:val="008723EB"/>
    <w:rsid w:val="0087587C"/>
    <w:rsid w:val="00875FEE"/>
    <w:rsid w:val="008804DD"/>
    <w:rsid w:val="008A13DD"/>
    <w:rsid w:val="008B1151"/>
    <w:rsid w:val="008B5C0D"/>
    <w:rsid w:val="008B68EB"/>
    <w:rsid w:val="008C44C6"/>
    <w:rsid w:val="008D0FD4"/>
    <w:rsid w:val="008D2480"/>
    <w:rsid w:val="008F1C9A"/>
    <w:rsid w:val="009028E1"/>
    <w:rsid w:val="009030A6"/>
    <w:rsid w:val="009144A5"/>
    <w:rsid w:val="00917B97"/>
    <w:rsid w:val="00926065"/>
    <w:rsid w:val="009277C1"/>
    <w:rsid w:val="00935595"/>
    <w:rsid w:val="00936949"/>
    <w:rsid w:val="00937272"/>
    <w:rsid w:val="009374BE"/>
    <w:rsid w:val="009401B3"/>
    <w:rsid w:val="00962277"/>
    <w:rsid w:val="00965DF6"/>
    <w:rsid w:val="00973C29"/>
    <w:rsid w:val="00983A14"/>
    <w:rsid w:val="00997CD8"/>
    <w:rsid w:val="009B37C0"/>
    <w:rsid w:val="009B5A44"/>
    <w:rsid w:val="009B71BA"/>
    <w:rsid w:val="009D28F8"/>
    <w:rsid w:val="009D6BC6"/>
    <w:rsid w:val="009E0B8C"/>
    <w:rsid w:val="009E27D5"/>
    <w:rsid w:val="009F79DC"/>
    <w:rsid w:val="00A03B7A"/>
    <w:rsid w:val="00A03D0E"/>
    <w:rsid w:val="00A069E0"/>
    <w:rsid w:val="00A07B44"/>
    <w:rsid w:val="00A109C0"/>
    <w:rsid w:val="00A41070"/>
    <w:rsid w:val="00A5465B"/>
    <w:rsid w:val="00A5671A"/>
    <w:rsid w:val="00A64223"/>
    <w:rsid w:val="00A64F4F"/>
    <w:rsid w:val="00A90C6F"/>
    <w:rsid w:val="00A97FB2"/>
    <w:rsid w:val="00AB6FB6"/>
    <w:rsid w:val="00AC1F1A"/>
    <w:rsid w:val="00AD37FC"/>
    <w:rsid w:val="00AD7339"/>
    <w:rsid w:val="00AE752C"/>
    <w:rsid w:val="00AF0DD6"/>
    <w:rsid w:val="00AF226D"/>
    <w:rsid w:val="00AF4A37"/>
    <w:rsid w:val="00AF4BE9"/>
    <w:rsid w:val="00B035C6"/>
    <w:rsid w:val="00B037D7"/>
    <w:rsid w:val="00B11183"/>
    <w:rsid w:val="00B1330A"/>
    <w:rsid w:val="00B20633"/>
    <w:rsid w:val="00B22B1C"/>
    <w:rsid w:val="00B27034"/>
    <w:rsid w:val="00B27B69"/>
    <w:rsid w:val="00B3487F"/>
    <w:rsid w:val="00B41CD6"/>
    <w:rsid w:val="00B41D76"/>
    <w:rsid w:val="00B43FC4"/>
    <w:rsid w:val="00B50DE0"/>
    <w:rsid w:val="00B547A5"/>
    <w:rsid w:val="00B555CA"/>
    <w:rsid w:val="00B55DFF"/>
    <w:rsid w:val="00B57B9B"/>
    <w:rsid w:val="00B63023"/>
    <w:rsid w:val="00B7567D"/>
    <w:rsid w:val="00B76BF8"/>
    <w:rsid w:val="00B76CB9"/>
    <w:rsid w:val="00B80334"/>
    <w:rsid w:val="00B8432F"/>
    <w:rsid w:val="00B90C3E"/>
    <w:rsid w:val="00B93760"/>
    <w:rsid w:val="00B94043"/>
    <w:rsid w:val="00BA40CA"/>
    <w:rsid w:val="00BB0DB3"/>
    <w:rsid w:val="00BD1CC5"/>
    <w:rsid w:val="00BD23EE"/>
    <w:rsid w:val="00BD7088"/>
    <w:rsid w:val="00BD77BE"/>
    <w:rsid w:val="00BE12C6"/>
    <w:rsid w:val="00BE78E1"/>
    <w:rsid w:val="00BF012D"/>
    <w:rsid w:val="00C04961"/>
    <w:rsid w:val="00C22985"/>
    <w:rsid w:val="00C22B11"/>
    <w:rsid w:val="00C2522D"/>
    <w:rsid w:val="00C26232"/>
    <w:rsid w:val="00C310A2"/>
    <w:rsid w:val="00C3162E"/>
    <w:rsid w:val="00C406A6"/>
    <w:rsid w:val="00C479B9"/>
    <w:rsid w:val="00C61804"/>
    <w:rsid w:val="00C63814"/>
    <w:rsid w:val="00C6555D"/>
    <w:rsid w:val="00C760D3"/>
    <w:rsid w:val="00C76DF6"/>
    <w:rsid w:val="00C80862"/>
    <w:rsid w:val="00C81AA4"/>
    <w:rsid w:val="00C94962"/>
    <w:rsid w:val="00CA1B11"/>
    <w:rsid w:val="00CA249B"/>
    <w:rsid w:val="00CA2FEC"/>
    <w:rsid w:val="00CA73C9"/>
    <w:rsid w:val="00CB64E1"/>
    <w:rsid w:val="00CD1C0A"/>
    <w:rsid w:val="00CD27C4"/>
    <w:rsid w:val="00CE290F"/>
    <w:rsid w:val="00CE30F0"/>
    <w:rsid w:val="00CE4324"/>
    <w:rsid w:val="00CE7B97"/>
    <w:rsid w:val="00CF412B"/>
    <w:rsid w:val="00CF6400"/>
    <w:rsid w:val="00D101A6"/>
    <w:rsid w:val="00D14E7B"/>
    <w:rsid w:val="00D16B68"/>
    <w:rsid w:val="00D21986"/>
    <w:rsid w:val="00D32746"/>
    <w:rsid w:val="00D57F12"/>
    <w:rsid w:val="00D60C47"/>
    <w:rsid w:val="00D60E07"/>
    <w:rsid w:val="00D622AC"/>
    <w:rsid w:val="00D67315"/>
    <w:rsid w:val="00D7530C"/>
    <w:rsid w:val="00D75E05"/>
    <w:rsid w:val="00D84FAF"/>
    <w:rsid w:val="00D8600F"/>
    <w:rsid w:val="00D975A2"/>
    <w:rsid w:val="00DA24E3"/>
    <w:rsid w:val="00DA2EB5"/>
    <w:rsid w:val="00DB0525"/>
    <w:rsid w:val="00DC4415"/>
    <w:rsid w:val="00DC5323"/>
    <w:rsid w:val="00DC78DE"/>
    <w:rsid w:val="00DD3E5F"/>
    <w:rsid w:val="00DE2427"/>
    <w:rsid w:val="00DF156B"/>
    <w:rsid w:val="00DF55CD"/>
    <w:rsid w:val="00E000CB"/>
    <w:rsid w:val="00E0482C"/>
    <w:rsid w:val="00E103BF"/>
    <w:rsid w:val="00E14639"/>
    <w:rsid w:val="00E15193"/>
    <w:rsid w:val="00E239BC"/>
    <w:rsid w:val="00E30C7D"/>
    <w:rsid w:val="00E312AA"/>
    <w:rsid w:val="00E33B0A"/>
    <w:rsid w:val="00E340D5"/>
    <w:rsid w:val="00E372AB"/>
    <w:rsid w:val="00E37465"/>
    <w:rsid w:val="00E42B45"/>
    <w:rsid w:val="00E5250E"/>
    <w:rsid w:val="00E6637C"/>
    <w:rsid w:val="00E759D1"/>
    <w:rsid w:val="00E76AA0"/>
    <w:rsid w:val="00E84991"/>
    <w:rsid w:val="00EA24EF"/>
    <w:rsid w:val="00EA6080"/>
    <w:rsid w:val="00EA6433"/>
    <w:rsid w:val="00EC0990"/>
    <w:rsid w:val="00EC4A80"/>
    <w:rsid w:val="00EC512E"/>
    <w:rsid w:val="00F022B1"/>
    <w:rsid w:val="00F0320B"/>
    <w:rsid w:val="00F03A4D"/>
    <w:rsid w:val="00F03DA0"/>
    <w:rsid w:val="00F250B3"/>
    <w:rsid w:val="00F2545F"/>
    <w:rsid w:val="00F25B67"/>
    <w:rsid w:val="00F27157"/>
    <w:rsid w:val="00F338CF"/>
    <w:rsid w:val="00F351F8"/>
    <w:rsid w:val="00F35F4B"/>
    <w:rsid w:val="00F5711F"/>
    <w:rsid w:val="00F577B7"/>
    <w:rsid w:val="00F60458"/>
    <w:rsid w:val="00F6102E"/>
    <w:rsid w:val="00F716AD"/>
    <w:rsid w:val="00F74F5F"/>
    <w:rsid w:val="00F80888"/>
    <w:rsid w:val="00F90A77"/>
    <w:rsid w:val="00F92751"/>
    <w:rsid w:val="00F946B1"/>
    <w:rsid w:val="00F96590"/>
    <w:rsid w:val="00FA18CE"/>
    <w:rsid w:val="00FB0031"/>
    <w:rsid w:val="00FC42FD"/>
    <w:rsid w:val="00FD0DF6"/>
    <w:rsid w:val="00FD2A60"/>
    <w:rsid w:val="00FD4D1D"/>
    <w:rsid w:val="00FE5DDC"/>
    <w:rsid w:val="00FF7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69AC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DB3"/>
    <w:pPr>
      <w:spacing w:after="160" w:line="259" w:lineRule="auto"/>
    </w:pPr>
    <w:rPr>
      <w:sz w:val="22"/>
      <w:szCs w:val="22"/>
      <w:lang w:eastAsia="en-US"/>
    </w:rPr>
  </w:style>
  <w:style w:type="paragraph" w:styleId="4">
    <w:name w:val="heading 4"/>
    <w:basedOn w:val="a"/>
    <w:next w:val="a"/>
    <w:link w:val="40"/>
    <w:semiHidden/>
    <w:unhideWhenUsed/>
    <w:qFormat/>
    <w:locked/>
    <w:rsid w:val="008B5C0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D640F"/>
    <w:pPr>
      <w:ind w:left="720"/>
      <w:contextualSpacing/>
    </w:pPr>
  </w:style>
  <w:style w:type="paragraph" w:styleId="a4">
    <w:name w:val="Body Text"/>
    <w:basedOn w:val="a"/>
    <w:link w:val="a5"/>
    <w:uiPriority w:val="99"/>
    <w:rsid w:val="00875FEE"/>
    <w:pPr>
      <w:spacing w:after="0" w:line="240" w:lineRule="auto"/>
      <w:jc w:val="both"/>
    </w:pPr>
    <w:rPr>
      <w:rFonts w:ascii="Times New Roman" w:eastAsia="Times New Roman" w:hAnsi="Times New Roman"/>
      <w:sz w:val="28"/>
      <w:szCs w:val="28"/>
      <w:lang w:eastAsia="zh-CN"/>
    </w:rPr>
  </w:style>
  <w:style w:type="character" w:customStyle="1" w:styleId="a5">
    <w:name w:val="Основной текст Знак"/>
    <w:link w:val="a4"/>
    <w:uiPriority w:val="99"/>
    <w:locked/>
    <w:rsid w:val="00875FEE"/>
    <w:rPr>
      <w:rFonts w:ascii="Times New Roman" w:hAnsi="Times New Roman" w:cs="Times New Roman"/>
      <w:sz w:val="28"/>
      <w:szCs w:val="28"/>
      <w:lang w:eastAsia="zh-CN"/>
    </w:rPr>
  </w:style>
  <w:style w:type="table" w:styleId="a6">
    <w:name w:val="Table Grid"/>
    <w:basedOn w:val="a1"/>
    <w:uiPriority w:val="59"/>
    <w:rsid w:val="00C655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uiPriority w:val="99"/>
    <w:semiHidden/>
    <w:rsid w:val="00376A5C"/>
    <w:pPr>
      <w:spacing w:after="120"/>
      <w:ind w:left="283"/>
    </w:pPr>
  </w:style>
  <w:style w:type="character" w:customStyle="1" w:styleId="a8">
    <w:name w:val="Основной текст с отступом Знак"/>
    <w:link w:val="a7"/>
    <w:uiPriority w:val="99"/>
    <w:semiHidden/>
    <w:locked/>
    <w:rsid w:val="00376A5C"/>
    <w:rPr>
      <w:rFonts w:cs="Times New Roman"/>
    </w:rPr>
  </w:style>
  <w:style w:type="paragraph" w:styleId="a9">
    <w:name w:val="header"/>
    <w:basedOn w:val="a"/>
    <w:link w:val="aa"/>
    <w:uiPriority w:val="99"/>
    <w:unhideWhenUsed/>
    <w:rsid w:val="00783F71"/>
    <w:pPr>
      <w:tabs>
        <w:tab w:val="center" w:pos="4677"/>
        <w:tab w:val="right" w:pos="9355"/>
      </w:tabs>
    </w:pPr>
  </w:style>
  <w:style w:type="character" w:customStyle="1" w:styleId="aa">
    <w:name w:val="Верхний колонтитул Знак"/>
    <w:link w:val="a9"/>
    <w:uiPriority w:val="99"/>
    <w:rsid w:val="00783F71"/>
    <w:rPr>
      <w:lang w:eastAsia="en-US"/>
    </w:rPr>
  </w:style>
  <w:style w:type="paragraph" w:styleId="ab">
    <w:name w:val="footer"/>
    <w:basedOn w:val="a"/>
    <w:link w:val="ac"/>
    <w:uiPriority w:val="99"/>
    <w:unhideWhenUsed/>
    <w:rsid w:val="00783F71"/>
    <w:pPr>
      <w:tabs>
        <w:tab w:val="center" w:pos="4677"/>
        <w:tab w:val="right" w:pos="9355"/>
      </w:tabs>
    </w:pPr>
  </w:style>
  <w:style w:type="character" w:customStyle="1" w:styleId="ac">
    <w:name w:val="Нижний колонтитул Знак"/>
    <w:link w:val="ab"/>
    <w:uiPriority w:val="99"/>
    <w:rsid w:val="00783F71"/>
    <w:rPr>
      <w:lang w:eastAsia="en-US"/>
    </w:rPr>
  </w:style>
  <w:style w:type="paragraph" w:styleId="ad">
    <w:name w:val="Balloon Text"/>
    <w:basedOn w:val="a"/>
    <w:link w:val="ae"/>
    <w:uiPriority w:val="99"/>
    <w:semiHidden/>
    <w:unhideWhenUsed/>
    <w:rsid w:val="00783F71"/>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783F71"/>
    <w:rPr>
      <w:rFonts w:ascii="Tahoma" w:hAnsi="Tahoma" w:cs="Tahoma"/>
      <w:sz w:val="16"/>
      <w:szCs w:val="16"/>
      <w:lang w:eastAsia="en-US"/>
    </w:rPr>
  </w:style>
  <w:style w:type="character" w:styleId="af">
    <w:name w:val="Hyperlink"/>
    <w:uiPriority w:val="99"/>
    <w:unhideWhenUsed/>
    <w:rsid w:val="002E1F78"/>
    <w:rPr>
      <w:color w:val="0000FF"/>
      <w:u w:val="single"/>
    </w:rPr>
  </w:style>
  <w:style w:type="table" w:customStyle="1" w:styleId="1">
    <w:name w:val="Сетка таблицы1"/>
    <w:basedOn w:val="a1"/>
    <w:next w:val="a6"/>
    <w:rsid w:val="00E8499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567D"/>
    <w:pPr>
      <w:autoSpaceDE w:val="0"/>
      <w:autoSpaceDN w:val="0"/>
      <w:adjustRightInd w:val="0"/>
    </w:pPr>
    <w:rPr>
      <w:rFonts w:ascii="Times New Roman" w:hAnsi="Times New Roman"/>
      <w:color w:val="000000"/>
      <w:sz w:val="24"/>
      <w:szCs w:val="24"/>
    </w:rPr>
  </w:style>
  <w:style w:type="character" w:customStyle="1" w:styleId="UnresolvedMention">
    <w:name w:val="Unresolved Mention"/>
    <w:basedOn w:val="a0"/>
    <w:uiPriority w:val="99"/>
    <w:semiHidden/>
    <w:unhideWhenUsed/>
    <w:rsid w:val="009B5A44"/>
    <w:rPr>
      <w:color w:val="605E5C"/>
      <w:shd w:val="clear" w:color="auto" w:fill="E1DFDD"/>
    </w:rPr>
  </w:style>
  <w:style w:type="character" w:styleId="af0">
    <w:name w:val="FollowedHyperlink"/>
    <w:basedOn w:val="a0"/>
    <w:uiPriority w:val="99"/>
    <w:semiHidden/>
    <w:unhideWhenUsed/>
    <w:rsid w:val="008723EB"/>
    <w:rPr>
      <w:color w:val="800080" w:themeColor="followedHyperlink"/>
      <w:u w:val="single"/>
    </w:rPr>
  </w:style>
  <w:style w:type="character" w:customStyle="1" w:styleId="40">
    <w:name w:val="Заголовок 4 Знак"/>
    <w:basedOn w:val="a0"/>
    <w:link w:val="4"/>
    <w:semiHidden/>
    <w:rsid w:val="008B5C0D"/>
    <w:rPr>
      <w:rFonts w:asciiTheme="majorHAnsi" w:eastAsiaTheme="majorEastAsia" w:hAnsiTheme="majorHAnsi" w:cstheme="majorBidi"/>
      <w:b/>
      <w:bCs/>
      <w:i/>
      <w:iCs/>
      <w:color w:val="4F81BD" w:themeColor="accent1"/>
      <w:sz w:val="22"/>
      <w:szCs w:val="22"/>
      <w:lang w:eastAsia="en-US"/>
    </w:rPr>
  </w:style>
  <w:style w:type="character" w:customStyle="1" w:styleId="docdata">
    <w:name w:val="docdata"/>
    <w:aliases w:val="docy,v5,1164,bqiaagaaeyqcaaagiaiaaapzawaabqeeaaaaaaaaaaaaaaaaaaaaaaaaaaaaaaaaaaaaaaaaaaaaaaaaaaaaaaaaaaaaaaaaaaaaaaaaaaaaaaaaaaaaaaaaaaaaaaaaaaaaaaaaaaaaaaaaaaaaaaaaaaaaaaaaaaaaaaaaaaaaaaaaaaaaaaaaaaaaaaaaaaaaaaaaaaaaaaaaaaaaaaaaaaaaaaaaaaaaaaaa"/>
    <w:basedOn w:val="a0"/>
    <w:rsid w:val="001F40A2"/>
  </w:style>
  <w:style w:type="table" w:customStyle="1" w:styleId="2">
    <w:name w:val="Сетка таблицы2"/>
    <w:basedOn w:val="a1"/>
    <w:next w:val="a6"/>
    <w:uiPriority w:val="59"/>
    <w:rsid w:val="001F40A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DB3"/>
    <w:pPr>
      <w:spacing w:after="160" w:line="259" w:lineRule="auto"/>
    </w:pPr>
    <w:rPr>
      <w:sz w:val="22"/>
      <w:szCs w:val="22"/>
      <w:lang w:eastAsia="en-US"/>
    </w:rPr>
  </w:style>
  <w:style w:type="paragraph" w:styleId="4">
    <w:name w:val="heading 4"/>
    <w:basedOn w:val="a"/>
    <w:next w:val="a"/>
    <w:link w:val="40"/>
    <w:semiHidden/>
    <w:unhideWhenUsed/>
    <w:qFormat/>
    <w:locked/>
    <w:rsid w:val="008B5C0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D640F"/>
    <w:pPr>
      <w:ind w:left="720"/>
      <w:contextualSpacing/>
    </w:pPr>
  </w:style>
  <w:style w:type="paragraph" w:styleId="a4">
    <w:name w:val="Body Text"/>
    <w:basedOn w:val="a"/>
    <w:link w:val="a5"/>
    <w:uiPriority w:val="99"/>
    <w:rsid w:val="00875FEE"/>
    <w:pPr>
      <w:spacing w:after="0" w:line="240" w:lineRule="auto"/>
      <w:jc w:val="both"/>
    </w:pPr>
    <w:rPr>
      <w:rFonts w:ascii="Times New Roman" w:eastAsia="Times New Roman" w:hAnsi="Times New Roman"/>
      <w:sz w:val="28"/>
      <w:szCs w:val="28"/>
      <w:lang w:eastAsia="zh-CN"/>
    </w:rPr>
  </w:style>
  <w:style w:type="character" w:customStyle="1" w:styleId="a5">
    <w:name w:val="Основной текст Знак"/>
    <w:link w:val="a4"/>
    <w:uiPriority w:val="99"/>
    <w:locked/>
    <w:rsid w:val="00875FEE"/>
    <w:rPr>
      <w:rFonts w:ascii="Times New Roman" w:hAnsi="Times New Roman" w:cs="Times New Roman"/>
      <w:sz w:val="28"/>
      <w:szCs w:val="28"/>
      <w:lang w:eastAsia="zh-CN"/>
    </w:rPr>
  </w:style>
  <w:style w:type="table" w:styleId="a6">
    <w:name w:val="Table Grid"/>
    <w:basedOn w:val="a1"/>
    <w:uiPriority w:val="59"/>
    <w:rsid w:val="00C655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uiPriority w:val="99"/>
    <w:semiHidden/>
    <w:rsid w:val="00376A5C"/>
    <w:pPr>
      <w:spacing w:after="120"/>
      <w:ind w:left="283"/>
    </w:pPr>
  </w:style>
  <w:style w:type="character" w:customStyle="1" w:styleId="a8">
    <w:name w:val="Основной текст с отступом Знак"/>
    <w:link w:val="a7"/>
    <w:uiPriority w:val="99"/>
    <w:semiHidden/>
    <w:locked/>
    <w:rsid w:val="00376A5C"/>
    <w:rPr>
      <w:rFonts w:cs="Times New Roman"/>
    </w:rPr>
  </w:style>
  <w:style w:type="paragraph" w:styleId="a9">
    <w:name w:val="header"/>
    <w:basedOn w:val="a"/>
    <w:link w:val="aa"/>
    <w:uiPriority w:val="99"/>
    <w:unhideWhenUsed/>
    <w:rsid w:val="00783F71"/>
    <w:pPr>
      <w:tabs>
        <w:tab w:val="center" w:pos="4677"/>
        <w:tab w:val="right" w:pos="9355"/>
      </w:tabs>
    </w:pPr>
  </w:style>
  <w:style w:type="character" w:customStyle="1" w:styleId="aa">
    <w:name w:val="Верхний колонтитул Знак"/>
    <w:link w:val="a9"/>
    <w:uiPriority w:val="99"/>
    <w:rsid w:val="00783F71"/>
    <w:rPr>
      <w:lang w:eastAsia="en-US"/>
    </w:rPr>
  </w:style>
  <w:style w:type="paragraph" w:styleId="ab">
    <w:name w:val="footer"/>
    <w:basedOn w:val="a"/>
    <w:link w:val="ac"/>
    <w:uiPriority w:val="99"/>
    <w:unhideWhenUsed/>
    <w:rsid w:val="00783F71"/>
    <w:pPr>
      <w:tabs>
        <w:tab w:val="center" w:pos="4677"/>
        <w:tab w:val="right" w:pos="9355"/>
      </w:tabs>
    </w:pPr>
  </w:style>
  <w:style w:type="character" w:customStyle="1" w:styleId="ac">
    <w:name w:val="Нижний колонтитул Знак"/>
    <w:link w:val="ab"/>
    <w:uiPriority w:val="99"/>
    <w:rsid w:val="00783F71"/>
    <w:rPr>
      <w:lang w:eastAsia="en-US"/>
    </w:rPr>
  </w:style>
  <w:style w:type="paragraph" w:styleId="ad">
    <w:name w:val="Balloon Text"/>
    <w:basedOn w:val="a"/>
    <w:link w:val="ae"/>
    <w:uiPriority w:val="99"/>
    <w:semiHidden/>
    <w:unhideWhenUsed/>
    <w:rsid w:val="00783F71"/>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783F71"/>
    <w:rPr>
      <w:rFonts w:ascii="Tahoma" w:hAnsi="Tahoma" w:cs="Tahoma"/>
      <w:sz w:val="16"/>
      <w:szCs w:val="16"/>
      <w:lang w:eastAsia="en-US"/>
    </w:rPr>
  </w:style>
  <w:style w:type="character" w:styleId="af">
    <w:name w:val="Hyperlink"/>
    <w:uiPriority w:val="99"/>
    <w:unhideWhenUsed/>
    <w:rsid w:val="002E1F78"/>
    <w:rPr>
      <w:color w:val="0000FF"/>
      <w:u w:val="single"/>
    </w:rPr>
  </w:style>
  <w:style w:type="table" w:customStyle="1" w:styleId="1">
    <w:name w:val="Сетка таблицы1"/>
    <w:basedOn w:val="a1"/>
    <w:next w:val="a6"/>
    <w:rsid w:val="00E8499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567D"/>
    <w:pPr>
      <w:autoSpaceDE w:val="0"/>
      <w:autoSpaceDN w:val="0"/>
      <w:adjustRightInd w:val="0"/>
    </w:pPr>
    <w:rPr>
      <w:rFonts w:ascii="Times New Roman" w:hAnsi="Times New Roman"/>
      <w:color w:val="000000"/>
      <w:sz w:val="24"/>
      <w:szCs w:val="24"/>
    </w:rPr>
  </w:style>
  <w:style w:type="character" w:customStyle="1" w:styleId="UnresolvedMention">
    <w:name w:val="Unresolved Mention"/>
    <w:basedOn w:val="a0"/>
    <w:uiPriority w:val="99"/>
    <w:semiHidden/>
    <w:unhideWhenUsed/>
    <w:rsid w:val="009B5A44"/>
    <w:rPr>
      <w:color w:val="605E5C"/>
      <w:shd w:val="clear" w:color="auto" w:fill="E1DFDD"/>
    </w:rPr>
  </w:style>
  <w:style w:type="character" w:styleId="af0">
    <w:name w:val="FollowedHyperlink"/>
    <w:basedOn w:val="a0"/>
    <w:uiPriority w:val="99"/>
    <w:semiHidden/>
    <w:unhideWhenUsed/>
    <w:rsid w:val="008723EB"/>
    <w:rPr>
      <w:color w:val="800080" w:themeColor="followedHyperlink"/>
      <w:u w:val="single"/>
    </w:rPr>
  </w:style>
  <w:style w:type="character" w:customStyle="1" w:styleId="40">
    <w:name w:val="Заголовок 4 Знак"/>
    <w:basedOn w:val="a0"/>
    <w:link w:val="4"/>
    <w:semiHidden/>
    <w:rsid w:val="008B5C0D"/>
    <w:rPr>
      <w:rFonts w:asciiTheme="majorHAnsi" w:eastAsiaTheme="majorEastAsia" w:hAnsiTheme="majorHAnsi" w:cstheme="majorBidi"/>
      <w:b/>
      <w:bCs/>
      <w:i/>
      <w:iCs/>
      <w:color w:val="4F81BD" w:themeColor="accent1"/>
      <w:sz w:val="22"/>
      <w:szCs w:val="22"/>
      <w:lang w:eastAsia="en-US"/>
    </w:rPr>
  </w:style>
  <w:style w:type="character" w:customStyle="1" w:styleId="docdata">
    <w:name w:val="docdata"/>
    <w:aliases w:val="docy,v5,1164,bqiaagaaeyqcaaagiaiaaapzawaabqeeaaaaaaaaaaaaaaaaaaaaaaaaaaaaaaaaaaaaaaaaaaaaaaaaaaaaaaaaaaaaaaaaaaaaaaaaaaaaaaaaaaaaaaaaaaaaaaaaaaaaaaaaaaaaaaaaaaaaaaaaaaaaaaaaaaaaaaaaaaaaaaaaaaaaaaaaaaaaaaaaaaaaaaaaaaaaaaaaaaaaaaaaaaaaaaaaaaaaaaaa"/>
    <w:basedOn w:val="a0"/>
    <w:rsid w:val="001F40A2"/>
  </w:style>
  <w:style w:type="table" w:customStyle="1" w:styleId="2">
    <w:name w:val="Сетка таблицы2"/>
    <w:basedOn w:val="a1"/>
    <w:next w:val="a6"/>
    <w:uiPriority w:val="59"/>
    <w:rsid w:val="001F40A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555235">
      <w:bodyDiv w:val="1"/>
      <w:marLeft w:val="0"/>
      <w:marRight w:val="0"/>
      <w:marTop w:val="0"/>
      <w:marBottom w:val="0"/>
      <w:divBdr>
        <w:top w:val="none" w:sz="0" w:space="0" w:color="auto"/>
        <w:left w:val="none" w:sz="0" w:space="0" w:color="auto"/>
        <w:bottom w:val="none" w:sz="0" w:space="0" w:color="auto"/>
        <w:right w:val="none" w:sz="0" w:space="0" w:color="auto"/>
      </w:divBdr>
    </w:div>
    <w:div w:id="1058166834">
      <w:bodyDiv w:val="1"/>
      <w:marLeft w:val="0"/>
      <w:marRight w:val="0"/>
      <w:marTop w:val="0"/>
      <w:marBottom w:val="0"/>
      <w:divBdr>
        <w:top w:val="none" w:sz="0" w:space="0" w:color="auto"/>
        <w:left w:val="none" w:sz="0" w:space="0" w:color="auto"/>
        <w:bottom w:val="none" w:sz="0" w:space="0" w:color="auto"/>
        <w:right w:val="none" w:sz="0" w:space="0" w:color="auto"/>
      </w:divBdr>
    </w:div>
    <w:div w:id="212441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3645</Words>
  <Characters>20782</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Пустовалов</dc:creator>
  <cp:lastModifiedBy>Igor Pustovalov</cp:lastModifiedBy>
  <cp:revision>2</cp:revision>
  <cp:lastPrinted>2019-10-23T06:53:00Z</cp:lastPrinted>
  <dcterms:created xsi:type="dcterms:W3CDTF">2026-03-06T06:01:00Z</dcterms:created>
  <dcterms:modified xsi:type="dcterms:W3CDTF">2026-03-06T06:01:00Z</dcterms:modified>
</cp:coreProperties>
</file>